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0E07" w14:textId="4EC66A07" w:rsidR="00597C77" w:rsidRDefault="005B3403">
      <w:r>
        <w:t>FAQ PRT 2019</w:t>
      </w:r>
    </w:p>
    <w:p w14:paraId="2CDE6BD5" w14:textId="60B56F5F" w:rsidR="005B3403" w:rsidRDefault="005B3403" w:rsidP="005B3403">
      <w:pPr>
        <w:pStyle w:val="Paragrafoelenco"/>
        <w:numPr>
          <w:ilvl w:val="0"/>
          <w:numId w:val="1"/>
        </w:numPr>
      </w:pPr>
      <w:r>
        <w:t xml:space="preserve">Nelle schede funzione è stata inserita una colonna ulteriore rispetto all’anno scorso, </w:t>
      </w:r>
      <w:r w:rsidR="00FA03A4">
        <w:t>intitolata</w:t>
      </w:r>
      <w:r>
        <w:t xml:space="preserve"> </w:t>
      </w:r>
      <w:r w:rsidRPr="005B3403">
        <w:rPr>
          <w:b/>
        </w:rPr>
        <w:t xml:space="preserve">Indicazione </w:t>
      </w:r>
      <w:r w:rsidR="00FA03A4" w:rsidRPr="005B3403">
        <w:rPr>
          <w:b/>
        </w:rPr>
        <w:t>estremi o</w:t>
      </w:r>
      <w:r w:rsidRPr="005B3403">
        <w:rPr>
          <w:b/>
        </w:rPr>
        <w:t xml:space="preserve"> link dell’atto</w:t>
      </w:r>
      <w:r>
        <w:t>; è da compilare al momento della presentazione delle domande?</w:t>
      </w:r>
    </w:p>
    <w:p w14:paraId="4329985A" w14:textId="77777777" w:rsidR="00FA03A4" w:rsidRDefault="00FA03A4" w:rsidP="005B3403">
      <w:pPr>
        <w:pStyle w:val="Paragrafoelenco"/>
      </w:pPr>
    </w:p>
    <w:p w14:paraId="5B6578EF" w14:textId="61D60536" w:rsidR="005B3403" w:rsidRDefault="005B3403" w:rsidP="00FA03A4">
      <w:pPr>
        <w:pStyle w:val="Paragrafoelenco"/>
        <w:jc w:val="both"/>
      </w:pPr>
      <w:r w:rsidRPr="00BF23F5">
        <w:rPr>
          <w:b/>
        </w:rPr>
        <w:t>SI’</w:t>
      </w:r>
      <w:r>
        <w:t xml:space="preserve">. Per ognuna delle azioni obbligatorie per l’accesso e per ognuna delle azioni  di consolidamento che vengono </w:t>
      </w:r>
      <w:r w:rsidRPr="00FA03A4">
        <w:rPr>
          <w:u w:val="single"/>
        </w:rPr>
        <w:t>fleggate</w:t>
      </w:r>
      <w:r w:rsidR="00FA03A4" w:rsidRPr="00FA03A4">
        <w:rPr>
          <w:u w:val="single"/>
        </w:rPr>
        <w:t xml:space="preserve"> dall’Unione</w:t>
      </w:r>
      <w:r>
        <w:t xml:space="preserve"> (anche in blocco come richiesto per le azioni necessarie per accedere all’incentivo ossia quelle del livello base) è necessario</w:t>
      </w:r>
      <w:r w:rsidR="00FA03A4">
        <w:t>,</w:t>
      </w:r>
      <w:r>
        <w:t xml:space="preserve"> </w:t>
      </w:r>
      <w:r w:rsidRPr="00BF23F5">
        <w:rPr>
          <w:u w:val="single"/>
        </w:rPr>
        <w:t>già nella fase della presentazione della domanda</w:t>
      </w:r>
      <w:r w:rsidR="00FA03A4">
        <w:t>,</w:t>
      </w:r>
      <w:r>
        <w:t xml:space="preserve"> riportare nelle schede funzione</w:t>
      </w:r>
      <w:r w:rsidR="00FA03A4">
        <w:t xml:space="preserve"> </w:t>
      </w:r>
      <w:r>
        <w:t>gli estremi degli atti o il link al sito dell’Unione</w:t>
      </w:r>
      <w:r w:rsidR="00FA03A4">
        <w:t xml:space="preserve"> relativi allo strumento di verifica dell’effettività indicato nella colonna precedente, che sarà oggetto di controllo (nella fase</w:t>
      </w:r>
      <w:r w:rsidR="00FA03A4" w:rsidRPr="00FA03A4">
        <w:t xml:space="preserve"> dei controlli a campione</w:t>
      </w:r>
      <w:r w:rsidR="00FA03A4">
        <w:t xml:space="preserve">, successiva alla concessione dei contributi), nel caso in cui la domanda risulti estratta </w:t>
      </w:r>
      <w:r w:rsidR="00BF23F5">
        <w:t>a tal fine.</w:t>
      </w:r>
    </w:p>
    <w:p w14:paraId="6A92CBAC" w14:textId="1C9C6445" w:rsidR="00D426C6" w:rsidRDefault="00D426C6" w:rsidP="00FA03A4">
      <w:pPr>
        <w:pStyle w:val="Paragrafoelenco"/>
        <w:jc w:val="both"/>
      </w:pPr>
    </w:p>
    <w:p w14:paraId="36BF7C4A" w14:textId="0D0E6959" w:rsidR="00D426C6" w:rsidRDefault="00D426C6" w:rsidP="00D426C6">
      <w:pPr>
        <w:pStyle w:val="Paragrafoelenco"/>
        <w:numPr>
          <w:ilvl w:val="0"/>
          <w:numId w:val="1"/>
        </w:numPr>
        <w:jc w:val="both"/>
      </w:pPr>
      <w:r>
        <w:t xml:space="preserve">Una nuova convenzione di conferimento della funzione urbanistica, </w:t>
      </w:r>
      <w:r w:rsidR="00871FD3">
        <w:t xml:space="preserve">adottata </w:t>
      </w:r>
      <w:r>
        <w:t>in attuazione della l.r.</w:t>
      </w:r>
      <w:r w:rsidR="00A73E00">
        <w:t>24/</w:t>
      </w:r>
      <w:r>
        <w:t>2017</w:t>
      </w:r>
      <w:r w:rsidR="00A73E00">
        <w:t xml:space="preserve"> (D</w:t>
      </w:r>
      <w:r w:rsidR="00A73E00" w:rsidRPr="00A73E00">
        <w:t>isciplina regionale sulla tutela e l’uso del territorio</w:t>
      </w:r>
      <w:r w:rsidR="00A73E00">
        <w:t>)</w:t>
      </w:r>
      <w:r w:rsidR="00871FD3">
        <w:t>,</w:t>
      </w:r>
      <w:r w:rsidR="00A73E00">
        <w:t xml:space="preserve"> può essere indicata nella domanda</w:t>
      </w:r>
      <w:r w:rsidR="00A73E00" w:rsidRPr="00A73E00">
        <w:t xml:space="preserve"> come nuova </w:t>
      </w:r>
      <w:r w:rsidR="00E43440" w:rsidRPr="00A73E00">
        <w:t>gestione</w:t>
      </w:r>
      <w:r w:rsidR="00E43440">
        <w:t>,</w:t>
      </w:r>
      <w:r w:rsidR="00A73E00">
        <w:t xml:space="preserve"> nel caso in cui tale funzione sia già stata finanziata </w:t>
      </w:r>
      <w:r w:rsidR="00E43440">
        <w:t>negli anni passati</w:t>
      </w:r>
      <w:r w:rsidR="00871FD3">
        <w:t>?</w:t>
      </w:r>
    </w:p>
    <w:p w14:paraId="6434FEA4" w14:textId="6019CC4B" w:rsidR="00A73E00" w:rsidRDefault="00A73E00" w:rsidP="00A73E00">
      <w:pPr>
        <w:pStyle w:val="Paragrafoelenco"/>
        <w:jc w:val="both"/>
      </w:pPr>
    </w:p>
    <w:p w14:paraId="58BF369B" w14:textId="11DCC046" w:rsidR="00A73E00" w:rsidRDefault="00A73E00" w:rsidP="00A73E00">
      <w:pPr>
        <w:pStyle w:val="Paragrafoelenco"/>
        <w:jc w:val="both"/>
        <w:rPr>
          <w:u w:val="single"/>
        </w:rPr>
      </w:pPr>
      <w:r w:rsidRPr="00A73E00">
        <w:rPr>
          <w:b/>
        </w:rPr>
        <w:t>NO</w:t>
      </w:r>
      <w:r>
        <w:t xml:space="preserve">. </w:t>
      </w:r>
      <w:r w:rsidR="00E43440">
        <w:t>Sono da considerarsi nuove e da segnalare quindi nell’apposita colonna dello schema di domanda le gestioni associate avviate dopo la scadenza del bando 2017 (quindi successive al 15/9/2017)</w:t>
      </w:r>
      <w:r w:rsidR="00525A59">
        <w:t xml:space="preserve"> </w:t>
      </w:r>
      <w:r w:rsidR="00525A59" w:rsidRPr="00A844ED">
        <w:rPr>
          <w:u w:val="single"/>
        </w:rPr>
        <w:t>e mai finanziate</w:t>
      </w:r>
      <w:r w:rsidR="00A844ED">
        <w:t xml:space="preserve">; </w:t>
      </w:r>
      <w:r w:rsidR="00A844ED" w:rsidRPr="00A844ED">
        <w:rPr>
          <w:u w:val="single"/>
        </w:rPr>
        <w:t>inoltre</w:t>
      </w:r>
      <w:r w:rsidR="00E43440" w:rsidRPr="00A844ED">
        <w:rPr>
          <w:u w:val="single"/>
        </w:rPr>
        <w:t xml:space="preserve"> </w:t>
      </w:r>
      <w:r w:rsidR="00525A59" w:rsidRPr="00A844ED">
        <w:rPr>
          <w:u w:val="single"/>
        </w:rPr>
        <w:t>sono</w:t>
      </w:r>
      <w:r w:rsidR="00E43440" w:rsidRPr="00A844ED">
        <w:rPr>
          <w:u w:val="single"/>
        </w:rPr>
        <w:t xml:space="preserve"> tuttora considerate nuove</w:t>
      </w:r>
      <w:r w:rsidR="00A844ED">
        <w:t xml:space="preserve"> (e come tali da segnalare in domanda)</w:t>
      </w:r>
      <w:r w:rsidR="00E43440">
        <w:t xml:space="preserve">, per l’annualità 2019 e anche </w:t>
      </w:r>
      <w:r w:rsidR="00A844ED">
        <w:t xml:space="preserve">per l’annualità </w:t>
      </w:r>
      <w:r w:rsidR="00E43440">
        <w:t>2020</w:t>
      </w:r>
      <w:r w:rsidR="00A844ED">
        <w:t xml:space="preserve"> </w:t>
      </w:r>
      <w:r w:rsidR="00525A59">
        <w:t xml:space="preserve">ma con premialità inferiore, </w:t>
      </w:r>
      <w:r w:rsidR="00E43440" w:rsidRPr="00A844ED">
        <w:rPr>
          <w:u w:val="single"/>
        </w:rPr>
        <w:t xml:space="preserve">quelle </w:t>
      </w:r>
      <w:r w:rsidR="00A844ED">
        <w:rPr>
          <w:u w:val="single"/>
        </w:rPr>
        <w:t>premiate</w:t>
      </w:r>
      <w:r w:rsidR="00E43440" w:rsidRPr="00A844ED">
        <w:rPr>
          <w:u w:val="single"/>
        </w:rPr>
        <w:t xml:space="preserve"> come tali nel 2018.</w:t>
      </w:r>
    </w:p>
    <w:p w14:paraId="5CC90429" w14:textId="26B184B8" w:rsidR="00A23779" w:rsidRDefault="00A23779" w:rsidP="00A73E00">
      <w:pPr>
        <w:pStyle w:val="Paragrafoelenco"/>
        <w:jc w:val="both"/>
        <w:rPr>
          <w:u w:val="single"/>
        </w:rPr>
      </w:pPr>
    </w:p>
    <w:p w14:paraId="033D48EF" w14:textId="2130B879" w:rsidR="00A23779" w:rsidRDefault="00A23779" w:rsidP="00A23779">
      <w:pPr>
        <w:pStyle w:val="Paragrafoelenco"/>
        <w:numPr>
          <w:ilvl w:val="0"/>
          <w:numId w:val="1"/>
        </w:numPr>
        <w:jc w:val="both"/>
      </w:pPr>
      <w:r>
        <w:t>P</w:t>
      </w:r>
      <w:r w:rsidRPr="00A23779">
        <w:t>er l</w:t>
      </w:r>
      <w:r>
        <w:t>’</w:t>
      </w:r>
      <w:r w:rsidRPr="00A23779">
        <w:t>azion</w:t>
      </w:r>
      <w:r>
        <w:t>e</w:t>
      </w:r>
      <w:r w:rsidRPr="00A23779">
        <w:t xml:space="preserve"> di consolidamento della funzione, livello avanzato, previst</w:t>
      </w:r>
      <w:r>
        <w:t>a</w:t>
      </w:r>
      <w:r w:rsidRPr="00A23779">
        <w:t xml:space="preserve"> dalla scheda </w:t>
      </w:r>
      <w:r w:rsidRPr="00A23779">
        <w:rPr>
          <w:b/>
        </w:rPr>
        <w:t>Protezione civile</w:t>
      </w:r>
      <w:r>
        <w:rPr>
          <w:b/>
        </w:rPr>
        <w:t xml:space="preserve"> </w:t>
      </w:r>
      <w:r>
        <w:t xml:space="preserve">e </w:t>
      </w:r>
      <w:r w:rsidRPr="00A23779">
        <w:t>descritta come: “Istituzione di un numero telefonico di reperibilità 24h per richieste e segnalazioni nei casi di attivazione del C</w:t>
      </w:r>
      <w:r>
        <w:t>OC</w:t>
      </w:r>
      <w:r w:rsidRPr="00A23779">
        <w:t xml:space="preserve"> e/o C</w:t>
      </w:r>
      <w:r>
        <w:t>OM</w:t>
      </w:r>
      <w:r w:rsidRPr="00A23779">
        <w:t>”</w:t>
      </w:r>
      <w:r>
        <w:t xml:space="preserve">, </w:t>
      </w:r>
      <w:r w:rsidRPr="00A23779">
        <w:t>il numero di reperibilità de</w:t>
      </w:r>
      <w:r>
        <w:t xml:space="preserve">ve </w:t>
      </w:r>
      <w:r w:rsidRPr="00A23779">
        <w:t xml:space="preserve"> essere messo a disposizione dei cittadini 24h al giorno anche “in tempo di pace” o solamente come sembra dalla lettura del punto evidenziato,  a disposizione della cittadinanza solo in caso di emergenza</w:t>
      </w:r>
      <w:r>
        <w:t>,</w:t>
      </w:r>
      <w:r w:rsidRPr="00A23779">
        <w:t xml:space="preserve"> solo in caso di apertura del </w:t>
      </w:r>
      <w:r>
        <w:t>COM</w:t>
      </w:r>
      <w:r w:rsidRPr="00A23779">
        <w:t xml:space="preserve"> e del </w:t>
      </w:r>
      <w:r>
        <w:t>COC?</w:t>
      </w:r>
    </w:p>
    <w:p w14:paraId="6521C615" w14:textId="5BB90272" w:rsidR="00A23779" w:rsidRDefault="00A23779" w:rsidP="00A23779">
      <w:pPr>
        <w:pStyle w:val="Paragrafoelenco"/>
        <w:jc w:val="both"/>
      </w:pPr>
    </w:p>
    <w:p w14:paraId="639FC20D" w14:textId="2DBE0133" w:rsidR="00A23779" w:rsidRDefault="00C4255C" w:rsidP="00A23779">
      <w:pPr>
        <w:pStyle w:val="Paragrafoelenco"/>
        <w:jc w:val="both"/>
      </w:pPr>
      <w:r w:rsidRPr="00C4255C">
        <w:rPr>
          <w:b/>
        </w:rPr>
        <w:t>Solo in caso di emergenza</w:t>
      </w:r>
      <w:r>
        <w:rPr>
          <w:b/>
        </w:rPr>
        <w:t>.</w:t>
      </w:r>
      <w:r w:rsidRPr="00C4255C">
        <w:t xml:space="preserve"> La questione interpretativa era già stata sollevata l’anno scorso</w:t>
      </w:r>
      <w:r>
        <w:t xml:space="preserve"> a proposito della precedente formulazione dell’azione di consolidamento “Istituzione di un numero telefonico di reperibilità 24 h per richieste e segnalazioni” </w:t>
      </w:r>
      <w:r w:rsidRPr="00C4255C">
        <w:t xml:space="preserve"> e, appunto per superare eventuali dubbi, </w:t>
      </w:r>
      <w:r>
        <w:t xml:space="preserve">si è ritenuto </w:t>
      </w:r>
      <w:r w:rsidRPr="00C4255C">
        <w:t>di modificare l’azione aggiungendo</w:t>
      </w:r>
      <w:r>
        <w:t xml:space="preserve"> la specificazione</w:t>
      </w:r>
      <w:r w:rsidRPr="00C4255C">
        <w:t xml:space="preserve"> “nei casi di attivazione del COC e/o COM” (</w:t>
      </w:r>
      <w:r>
        <w:t>in</w:t>
      </w:r>
      <w:r w:rsidRPr="00C4255C">
        <w:t xml:space="preserve"> sede di aggiornamento del PRT/bando 2019</w:t>
      </w:r>
      <w:r w:rsidR="001B09F8">
        <w:t xml:space="preserve">, </w:t>
      </w:r>
      <w:r w:rsidRPr="00C4255C">
        <w:t xml:space="preserve"> con </w:t>
      </w:r>
      <w:r w:rsidR="001B09F8">
        <w:t>D.G.R.</w:t>
      </w:r>
      <w:r w:rsidRPr="00C4255C">
        <w:t xml:space="preserve"> n.453/2019), </w:t>
      </w:r>
      <w:r w:rsidR="001B09F8">
        <w:t xml:space="preserve">optando per la </w:t>
      </w:r>
      <w:r w:rsidRPr="00C4255C">
        <w:t xml:space="preserve"> seconda </w:t>
      </w:r>
      <w:r w:rsidR="001B09F8">
        <w:t>soluzione</w:t>
      </w:r>
      <w:r w:rsidRPr="00C4255C">
        <w:t xml:space="preserve"> </w:t>
      </w:r>
      <w:r w:rsidR="001B09F8">
        <w:t>indicata</w:t>
      </w:r>
      <w:r w:rsidRPr="00C4255C">
        <w:t>, ossia che il numero telefonico di reperibilità sia attivo 24h in caso di emergenza vale a dire quando viene attivato/aperto il COM e</w:t>
      </w:r>
      <w:r w:rsidR="00F4582B">
        <w:t>/o</w:t>
      </w:r>
      <w:r w:rsidRPr="00C4255C">
        <w:t xml:space="preserve"> il COC</w:t>
      </w:r>
      <w:r w:rsidR="00F4582B">
        <w:t>.</w:t>
      </w:r>
    </w:p>
    <w:p w14:paraId="6D40CD6D" w14:textId="6A15CEDF" w:rsidR="005176C1" w:rsidRDefault="005176C1" w:rsidP="00A23779">
      <w:pPr>
        <w:pStyle w:val="Paragrafoelenco"/>
        <w:jc w:val="both"/>
        <w:rPr>
          <w:b/>
        </w:rPr>
      </w:pPr>
    </w:p>
    <w:p w14:paraId="61AE4003" w14:textId="37F05E69" w:rsidR="005176C1" w:rsidRPr="005176C1" w:rsidRDefault="005176C1" w:rsidP="005176C1">
      <w:pPr>
        <w:pStyle w:val="Paragrafoelenco"/>
        <w:numPr>
          <w:ilvl w:val="0"/>
          <w:numId w:val="1"/>
        </w:numPr>
        <w:jc w:val="both"/>
        <w:rPr>
          <w:b/>
        </w:rPr>
      </w:pPr>
      <w:r w:rsidRPr="005176C1">
        <w:t>Le azioni di consolidamento (livello avanzato)</w:t>
      </w:r>
      <w:r>
        <w:rPr>
          <w:b/>
        </w:rPr>
        <w:t xml:space="preserve"> </w:t>
      </w:r>
      <w:r>
        <w:t xml:space="preserve">della scheda funzione </w:t>
      </w:r>
      <w:r w:rsidRPr="005176C1">
        <w:rPr>
          <w:b/>
        </w:rPr>
        <w:t>ICT-Agenda digitale</w:t>
      </w:r>
      <w:r>
        <w:t xml:space="preserve">, ed in particolare l’azione </w:t>
      </w:r>
      <w:r w:rsidRPr="005176C1">
        <w:rPr>
          <w:b/>
        </w:rPr>
        <w:t>Unico DPO Unione e Comuni</w:t>
      </w:r>
      <w:r>
        <w:rPr>
          <w:b/>
        </w:rPr>
        <w:t>,</w:t>
      </w:r>
      <w:r>
        <w:t xml:space="preserve"> possono coinvolgere soltanto l’80% dei Comuni aderenti all’Unione o comunque può restarne fuori un Comune?</w:t>
      </w:r>
      <w:r w:rsidR="00BB042F">
        <w:t xml:space="preserve"> </w:t>
      </w:r>
      <w:bookmarkStart w:id="0" w:name="_GoBack"/>
      <w:bookmarkEnd w:id="0"/>
    </w:p>
    <w:p w14:paraId="4C7D1645" w14:textId="75CC2564" w:rsidR="005176C1" w:rsidRDefault="005176C1" w:rsidP="005176C1">
      <w:pPr>
        <w:pStyle w:val="Paragrafoelenco"/>
        <w:jc w:val="both"/>
        <w:rPr>
          <w:b/>
        </w:rPr>
      </w:pPr>
    </w:p>
    <w:p w14:paraId="0C6CF992" w14:textId="34E33766" w:rsidR="005176C1" w:rsidRDefault="005176C1" w:rsidP="005176C1">
      <w:pPr>
        <w:ind w:left="708"/>
        <w:jc w:val="both"/>
      </w:pPr>
      <w:r>
        <w:rPr>
          <w:b/>
        </w:rPr>
        <w:t xml:space="preserve">NO. </w:t>
      </w:r>
      <w:r w:rsidRPr="005176C1">
        <w:t>Siccome trattasi di gestione associata obbligatoria e necessariamente rientrante tra le 4 minime indispensabili per l’accesso</w:t>
      </w:r>
      <w:r>
        <w:t xml:space="preserve"> ai contributi</w:t>
      </w:r>
      <w:r w:rsidRPr="005176C1">
        <w:t xml:space="preserve">, </w:t>
      </w:r>
      <w:r>
        <w:t>non solo alle azioni di base ma anche a</w:t>
      </w:r>
      <w:r w:rsidRPr="005176C1">
        <w:t xml:space="preserve">lle azioni </w:t>
      </w:r>
      <w:r w:rsidRPr="005176C1">
        <w:lastRenderedPageBreak/>
        <w:t>avanzate devono partecipare</w:t>
      </w:r>
      <w:r w:rsidRPr="005176C1">
        <w:rPr>
          <w:b/>
        </w:rPr>
        <w:t xml:space="preserve"> </w:t>
      </w:r>
      <w:r w:rsidRPr="005176C1">
        <w:t>tutti i comuni</w:t>
      </w:r>
      <w:r>
        <w:rPr>
          <w:b/>
        </w:rPr>
        <w:t xml:space="preserve"> dell’Unione</w:t>
      </w:r>
      <w:r w:rsidR="00757377">
        <w:rPr>
          <w:b/>
        </w:rPr>
        <w:t xml:space="preserve"> </w:t>
      </w:r>
      <w:r w:rsidR="00757377" w:rsidRPr="00757377">
        <w:t xml:space="preserve">(a prescindere dalla categoria di </w:t>
      </w:r>
      <w:r w:rsidR="00757377">
        <w:t>U</w:t>
      </w:r>
      <w:r w:rsidR="00757377" w:rsidRPr="00757377">
        <w:t>nion</w:t>
      </w:r>
      <w:r w:rsidR="00757377">
        <w:t>e</w:t>
      </w:r>
      <w:r w:rsidR="00757377" w:rsidRPr="00757377">
        <w:t>)</w:t>
      </w:r>
      <w:r w:rsidRPr="00757377">
        <w:t>,</w:t>
      </w:r>
      <w:r>
        <w:rPr>
          <w:b/>
        </w:rPr>
        <w:t xml:space="preserve"> </w:t>
      </w:r>
      <w:r w:rsidRPr="005176C1">
        <w:t>in quanto per tali</w:t>
      </w:r>
      <w:r>
        <w:rPr>
          <w:b/>
        </w:rPr>
        <w:t xml:space="preserve"> </w:t>
      </w:r>
      <w:r w:rsidRPr="005176C1">
        <w:t>funzioni</w:t>
      </w:r>
      <w:r>
        <w:t xml:space="preserve"> è richiesta per legge</w:t>
      </w:r>
      <w:r w:rsidR="000808A4">
        <w:t xml:space="preserve"> (art.7 co.3 e art.24 co.2 l.r.n.21/2012)</w:t>
      </w:r>
      <w:r>
        <w:t xml:space="preserve"> l’unanimità dei Comuni </w:t>
      </w:r>
      <w:r w:rsidR="000B66CC">
        <w:t xml:space="preserve">ed il PRT non prevede differenze di requisiti soggettivi a seconda del livello di effettività </w:t>
      </w:r>
      <w:r w:rsidR="00EE2A91">
        <w:t xml:space="preserve">e di avanzamento </w:t>
      </w:r>
      <w:r w:rsidR="000B66CC">
        <w:t>della gestione</w:t>
      </w:r>
      <w:r w:rsidR="00EE2A91">
        <w:t xml:space="preserve"> associata</w:t>
      </w:r>
      <w:r w:rsidR="000B66CC">
        <w:t>.</w:t>
      </w:r>
    </w:p>
    <w:p w14:paraId="5C8075D3" w14:textId="042A3BBA" w:rsidR="00526470" w:rsidRDefault="00E32FD9" w:rsidP="00E32FD9">
      <w:pPr>
        <w:pStyle w:val="Paragrafoelenco"/>
        <w:numPr>
          <w:ilvl w:val="0"/>
          <w:numId w:val="1"/>
        </w:numPr>
        <w:jc w:val="both"/>
      </w:pPr>
      <w:r>
        <w:t>L</w:t>
      </w:r>
      <w:r w:rsidR="00526470">
        <w:t xml:space="preserve">o scorso anno con riferimento alla </w:t>
      </w:r>
      <w:r w:rsidR="00526470" w:rsidRPr="00E32FD9">
        <w:rPr>
          <w:b/>
        </w:rPr>
        <w:t>scheda virtuosità</w:t>
      </w:r>
      <w:r w:rsidR="00526470">
        <w:t xml:space="preserve"> (</w:t>
      </w:r>
      <w:r w:rsidR="00526470" w:rsidRPr="00E32FD9">
        <w:rPr>
          <w:u w:val="single"/>
        </w:rPr>
        <w:t>solo per le Unioni in sviluppo e mature</w:t>
      </w:r>
      <w:r w:rsidR="00526470">
        <w:t xml:space="preserve">) per i dati riferiti al bilancio è stata compilata la </w:t>
      </w:r>
      <w:proofErr w:type="spellStart"/>
      <w:r w:rsidR="00526470">
        <w:t>Tab</w:t>
      </w:r>
      <w:proofErr w:type="spellEnd"/>
      <w:r w:rsidR="00526470">
        <w:t xml:space="preserve"> 4.1 che faceva riferimento al rendiconto 2017; quest'anno c'è un riferimento generico al bilancio 2018 e nella nuova scheda virtuosità non è prevista la tabella 4.1; nello schema di domanda, rispetto all’anno scorso, </w:t>
      </w:r>
      <w:r>
        <w:t>è stato</w:t>
      </w:r>
      <w:r w:rsidR="00526470">
        <w:t xml:space="preserve"> aggiunto questo punt</w:t>
      </w:r>
      <w:r>
        <w:t>o:</w:t>
      </w:r>
    </w:p>
    <w:p w14:paraId="33C35362" w14:textId="4339654A" w:rsidR="005176C1" w:rsidRPr="00526470" w:rsidRDefault="00E32FD9" w:rsidP="00526470">
      <w:pPr>
        <w:pStyle w:val="Paragrafoelenco"/>
        <w:jc w:val="both"/>
        <w:rPr>
          <w:b/>
        </w:rPr>
      </w:pPr>
      <w:r>
        <w:t>“</w:t>
      </w:r>
      <w:r w:rsidR="00526470">
        <w:t xml:space="preserve">inoltre, quale parte integrante della domanda, indica di seguito il nominativo e l’indirizzo </w:t>
      </w:r>
      <w:r>
        <w:t>e-mail</w:t>
      </w:r>
      <w:r w:rsidR="00526470">
        <w:t xml:space="preserve"> del Responsabile (al quale sarà inviato il link dell’apposito applicativo) per la fornitura dei dati finanziari ai sensi del cap. 5 paragrafo 3 del PRT per il calcolo della soglia di effettività (scheda virtuosità), secondo la modalità prevista dal PRT stesso entro il termine perentorio del 30 maggio 2019 a pena di esclusione della domanda: ........................................</w:t>
      </w:r>
      <w:r>
        <w:t>”</w:t>
      </w:r>
    </w:p>
    <w:p w14:paraId="08632C91" w14:textId="5FB16415" w:rsidR="00A844ED" w:rsidRDefault="00A844ED" w:rsidP="00A73E00">
      <w:pPr>
        <w:pStyle w:val="Paragrafoelenco"/>
        <w:jc w:val="both"/>
        <w:rPr>
          <w:u w:val="single"/>
        </w:rPr>
      </w:pPr>
    </w:p>
    <w:p w14:paraId="290DC951" w14:textId="48C191D3" w:rsidR="00E32FD9" w:rsidRPr="00E32FD9" w:rsidRDefault="00E32FD9" w:rsidP="00E32FD9">
      <w:pPr>
        <w:pStyle w:val="Paragrafoelenco"/>
        <w:jc w:val="both"/>
      </w:pPr>
      <w:r w:rsidRPr="00E32FD9">
        <w:rPr>
          <w:b/>
        </w:rPr>
        <w:t>RISPOSTA</w:t>
      </w:r>
      <w:r>
        <w:t xml:space="preserve"> </w:t>
      </w:r>
      <w:r w:rsidRPr="00E32FD9">
        <w:t xml:space="preserve">Quest’anno </w:t>
      </w:r>
      <w:r w:rsidR="00625AC9">
        <w:t>si è</w:t>
      </w:r>
      <w:r w:rsidRPr="00E32FD9">
        <w:t xml:space="preserve"> dovuto modificare la scheda virtuosità con riguardo all’indicatore di cui alla lett. e </w:t>
      </w:r>
      <w:r w:rsidRPr="00E32FD9">
        <w:rPr>
          <w:b/>
        </w:rPr>
        <w:t>L’Unione ha raggiunto una soglia minima dell’indice di effettività</w:t>
      </w:r>
      <w:r w:rsidRPr="00E32FD9">
        <w:t xml:space="preserve"> in quanto, per la scadenza ravvicinata del termine per la presentazione delle domande (30 aprile) rispetto al 2018, non sono ancora disponibili </w:t>
      </w:r>
      <w:r>
        <w:t xml:space="preserve">alla predetta data, </w:t>
      </w:r>
      <w:r w:rsidRPr="00E32FD9">
        <w:t>nella banca dati Finanza del territorio</w:t>
      </w:r>
      <w:r>
        <w:t>,</w:t>
      </w:r>
      <w:r w:rsidRPr="00E32FD9">
        <w:t xml:space="preserve"> i dati richiesti e  anzi diversi enti (Unioni e Comuni) potrebbero non averli ancora a disposizione </w:t>
      </w:r>
      <w:r>
        <w:t>entro il 30 aprile</w:t>
      </w:r>
      <w:r w:rsidRPr="00E32FD9">
        <w:t>.</w:t>
      </w:r>
    </w:p>
    <w:p w14:paraId="10F0E8F1" w14:textId="5DFBC92F" w:rsidR="00E32FD9" w:rsidRPr="00E32FD9" w:rsidRDefault="00E32FD9" w:rsidP="00E32FD9">
      <w:pPr>
        <w:pStyle w:val="Paragrafoelenco"/>
        <w:jc w:val="both"/>
      </w:pPr>
      <w:r w:rsidRPr="00E32FD9">
        <w:t xml:space="preserve">Per cui </w:t>
      </w:r>
      <w:r w:rsidR="00625AC9">
        <w:t>si è</w:t>
      </w:r>
      <w:r w:rsidRPr="00E32FD9">
        <w:t xml:space="preserve"> optato per una soluzione diversa, ossia di fare compilare un apposito applicativo il cui link di accesso verrà inviato per mail alla persona indicata nella domanda; tale integrazione della domanda </w:t>
      </w:r>
      <w:r>
        <w:t xml:space="preserve">(e solo questa) </w:t>
      </w:r>
      <w:r w:rsidRPr="00E32FD9">
        <w:t xml:space="preserve">andrà effettuata, dalle </w:t>
      </w:r>
      <w:r w:rsidRPr="00625AC9">
        <w:rPr>
          <w:u w:val="single"/>
        </w:rPr>
        <w:t xml:space="preserve">Unioni in sviluppo e </w:t>
      </w:r>
      <w:proofErr w:type="gramStart"/>
      <w:r w:rsidRPr="00625AC9">
        <w:rPr>
          <w:u w:val="single"/>
        </w:rPr>
        <w:t>mature</w:t>
      </w:r>
      <w:r w:rsidRPr="00E32FD9">
        <w:t xml:space="preserve">,  </w:t>
      </w:r>
      <w:r w:rsidRPr="00E32FD9">
        <w:rPr>
          <w:b/>
        </w:rPr>
        <w:t>entro</w:t>
      </w:r>
      <w:proofErr w:type="gramEnd"/>
      <w:r w:rsidRPr="00E32FD9">
        <w:rPr>
          <w:b/>
        </w:rPr>
        <w:t xml:space="preserve"> il 30 maggio</w:t>
      </w:r>
      <w:r w:rsidRPr="00E32FD9">
        <w:t>.</w:t>
      </w:r>
    </w:p>
    <w:p w14:paraId="05252817" w14:textId="77777777" w:rsidR="00E32FD9" w:rsidRPr="00E32FD9" w:rsidRDefault="00E32FD9" w:rsidP="00E32FD9">
      <w:pPr>
        <w:pStyle w:val="Paragrafoelenco"/>
        <w:jc w:val="both"/>
      </w:pPr>
    </w:p>
    <w:p w14:paraId="27F18265" w14:textId="1F61F89A" w:rsidR="00E32FD9" w:rsidRPr="00E32FD9" w:rsidRDefault="00E32FD9" w:rsidP="00E32FD9">
      <w:pPr>
        <w:pStyle w:val="Paragrafoelenco"/>
        <w:jc w:val="both"/>
      </w:pPr>
      <w:r w:rsidRPr="00E32FD9">
        <w:t xml:space="preserve">Pertanto per </w:t>
      </w:r>
      <w:r>
        <w:t>le unioni in sviluppo e mature</w:t>
      </w:r>
      <w:r w:rsidRPr="00E32FD9">
        <w:t xml:space="preserve"> al momento della presentazione della domanda dovranno essere prodotte, compilate, le schede funzione e anche la scheda virtuosità</w:t>
      </w:r>
      <w:r>
        <w:t xml:space="preserve"> aggiornate (in particolare con una specifica colonna in cui devono essere indicati gli estremi degli atti o i link agli atti/strumenti di verifica di effettività</w:t>
      </w:r>
      <w:r w:rsidR="00625AC9">
        <w:t>)</w:t>
      </w:r>
      <w:r w:rsidRPr="00E32FD9">
        <w:t xml:space="preserve">; poi successivamente, con le modalità che </w:t>
      </w:r>
      <w:r>
        <w:t xml:space="preserve">saranno </w:t>
      </w:r>
      <w:r w:rsidRPr="00E32FD9">
        <w:t>indic</w:t>
      </w:r>
      <w:r>
        <w:t>ate</w:t>
      </w:r>
      <w:r w:rsidRPr="00E32FD9">
        <w:t xml:space="preserve"> alla persona designata dal Presidente nella domanda, dovrà essere adempiuto a quanto previsto dal cap.5 §3 del PRT 2019 (D.G.R. 453/2019) </w:t>
      </w:r>
      <w:r>
        <w:t xml:space="preserve">di seguito </w:t>
      </w:r>
      <w:r w:rsidRPr="00E32FD9">
        <w:t>riport</w:t>
      </w:r>
      <w:r>
        <w:t>ato</w:t>
      </w:r>
      <w:r w:rsidRPr="00E32FD9">
        <w:t>:</w:t>
      </w:r>
    </w:p>
    <w:p w14:paraId="33595651" w14:textId="268F93D8" w:rsidR="00A844ED" w:rsidRDefault="00E32FD9" w:rsidP="00625AC9">
      <w:pPr>
        <w:pStyle w:val="Paragrafoelenco"/>
        <w:jc w:val="both"/>
      </w:pPr>
      <w:r>
        <w:t>“</w:t>
      </w:r>
      <w:r w:rsidRPr="00E32FD9">
        <w:t>I dati finanziari necessari per il calcolo d’ufficio da parte della Regione della soglia minima</w:t>
      </w:r>
      <w:r w:rsidR="00625AC9">
        <w:t xml:space="preserve"> </w:t>
      </w:r>
      <w:r w:rsidRPr="00E32FD9">
        <w:t>dell’indice di effettività di cui alla lett. e della Fig.6 e della Tab.3, desunti dal conto consuntivo</w:t>
      </w:r>
      <w:r w:rsidR="00625AC9">
        <w:t xml:space="preserve"> </w:t>
      </w:r>
      <w:r w:rsidRPr="00E32FD9">
        <w:t>relativo all’esercizio 2018 (spesa corrente complessiva di cui al Titolo 1 e spesa di personale</w:t>
      </w:r>
      <w:r w:rsidR="00625AC9">
        <w:t xml:space="preserve"> </w:t>
      </w:r>
      <w:r w:rsidRPr="00E32FD9">
        <w:t xml:space="preserve">di cui al Titolo 1 </w:t>
      </w:r>
      <w:proofErr w:type="spellStart"/>
      <w:r w:rsidRPr="00E32FD9">
        <w:t>Macroaggregato</w:t>
      </w:r>
      <w:proofErr w:type="spellEnd"/>
      <w:r w:rsidRPr="00E32FD9">
        <w:t xml:space="preserve"> 1 1 Redditi da lavoro dipendente + IRAP personale (Imposta</w:t>
      </w:r>
      <w:r w:rsidR="00625AC9">
        <w:t xml:space="preserve"> </w:t>
      </w:r>
      <w:r w:rsidRPr="00E32FD9">
        <w:t>regionale sulle attività produttive - IRAP) voce U.1.02.01.01.001 del Piano dei conti finanziario</w:t>
      </w:r>
      <w:r w:rsidR="00625AC9">
        <w:t xml:space="preserve"> </w:t>
      </w:r>
      <w:r w:rsidRPr="00E32FD9">
        <w:t>(Allegato n. 6/1 al D. Lgs. 118/2011) sia dell’Unione sia di tutti i Comuni aderenti devono</w:t>
      </w:r>
      <w:r w:rsidR="00625AC9">
        <w:t xml:space="preserve"> </w:t>
      </w:r>
      <w:r w:rsidRPr="00E32FD9">
        <w:t>essere caricati dall’Unione, ad integrazione della domanda, entro il 30 maggio (a pena di</w:t>
      </w:r>
      <w:r w:rsidR="00625AC9">
        <w:t xml:space="preserve"> </w:t>
      </w:r>
      <w:r w:rsidRPr="00E32FD9">
        <w:t>esclusione della domanda), su apposito applicativo il cui link sarà comunicato via PEC alle</w:t>
      </w:r>
      <w:r w:rsidR="00625AC9">
        <w:t xml:space="preserve"> </w:t>
      </w:r>
      <w:r w:rsidRPr="00E32FD9">
        <w:t>Unioni in tempo utile</w:t>
      </w:r>
      <w:r w:rsidR="00625AC9">
        <w:t>”.</w:t>
      </w:r>
    </w:p>
    <w:p w14:paraId="6D277F76" w14:textId="1F51C256" w:rsidR="002E4499" w:rsidRDefault="002E4499" w:rsidP="00625AC9">
      <w:pPr>
        <w:pStyle w:val="Paragrafoelenco"/>
        <w:jc w:val="both"/>
      </w:pPr>
    </w:p>
    <w:p w14:paraId="1E992972" w14:textId="0F24E641" w:rsidR="002E4499" w:rsidRDefault="002E4499" w:rsidP="002E4499">
      <w:pPr>
        <w:pStyle w:val="Paragrafoelenco"/>
        <w:numPr>
          <w:ilvl w:val="0"/>
          <w:numId w:val="1"/>
        </w:numPr>
        <w:jc w:val="both"/>
      </w:pPr>
      <w:r>
        <w:t xml:space="preserve">Per </w:t>
      </w:r>
      <w:r w:rsidRPr="002E4499">
        <w:rPr>
          <w:b/>
        </w:rPr>
        <w:t>le Unioni mature</w:t>
      </w:r>
      <w:r>
        <w:t xml:space="preserve"> il report relativo al miglioramento dei servizi espletati (cap.10 del PRT) deve essere prodotto entro il 30 aprile?</w:t>
      </w:r>
    </w:p>
    <w:p w14:paraId="15A20C6E" w14:textId="79BD28C8" w:rsidR="002E4499" w:rsidRDefault="002E4499" w:rsidP="002E4499">
      <w:pPr>
        <w:ind w:left="708"/>
        <w:jc w:val="both"/>
      </w:pPr>
      <w:r w:rsidRPr="002E4499">
        <w:rPr>
          <w:b/>
        </w:rPr>
        <w:t>SI</w:t>
      </w:r>
      <w:r>
        <w:rPr>
          <w:b/>
        </w:rPr>
        <w:t xml:space="preserve">’. </w:t>
      </w:r>
      <w:r w:rsidRPr="002E4499">
        <w:t>Come prevede lo schema di domanda</w:t>
      </w:r>
      <w:r>
        <w:t>,</w:t>
      </w:r>
      <w:r w:rsidRPr="002E4499">
        <w:t xml:space="preserve"> si tratta di un allegato alla domanda stessa (unitamente alle schede funzione e all</w:t>
      </w:r>
      <w:r>
        <w:t>a</w:t>
      </w:r>
      <w:r w:rsidRPr="002E4499">
        <w:t xml:space="preserve"> scheda virtuosità)</w:t>
      </w:r>
      <w:r>
        <w:t>.</w:t>
      </w:r>
    </w:p>
    <w:p w14:paraId="68D2801B" w14:textId="6E898AF6" w:rsidR="002D585A" w:rsidRDefault="002D585A" w:rsidP="002E4499">
      <w:pPr>
        <w:ind w:left="708"/>
        <w:jc w:val="both"/>
        <w:rPr>
          <w:b/>
        </w:rPr>
      </w:pPr>
    </w:p>
    <w:p w14:paraId="3FC8F7D1" w14:textId="0DF8F7E1" w:rsidR="002D585A" w:rsidRPr="002D585A" w:rsidRDefault="002D585A" w:rsidP="002D585A">
      <w:pPr>
        <w:pStyle w:val="Paragrafoelenco"/>
        <w:numPr>
          <w:ilvl w:val="0"/>
          <w:numId w:val="1"/>
        </w:numPr>
        <w:jc w:val="both"/>
      </w:pPr>
      <w:r w:rsidRPr="002D585A">
        <w:lastRenderedPageBreak/>
        <w:t xml:space="preserve">A proposito della scheda funzione </w:t>
      </w:r>
      <w:r w:rsidRPr="002D585A">
        <w:rPr>
          <w:b/>
        </w:rPr>
        <w:t>CUC</w:t>
      </w:r>
      <w:r w:rsidRPr="002D585A">
        <w:t xml:space="preserve"> e precisamente dell’azione di consolidamento “Cura la procedura di gara di lavori pubblici, servizi e forniture per importi pari o superiori a 40.000 euro”, laddove, nell’apposita colonna, si chiede di indicare gli estremi o il link dei </w:t>
      </w:r>
      <w:r w:rsidRPr="002D585A">
        <w:rPr>
          <w:b/>
        </w:rPr>
        <w:t>Bandi di gara e lettere di invito</w:t>
      </w:r>
      <w:r w:rsidRPr="002D585A">
        <w:t>, tenuto conto che spesso si tratta di tanti bandi e di tante lettere di invito, occorre comunque riportare gli estremi di tutti?</w:t>
      </w:r>
    </w:p>
    <w:p w14:paraId="70939FD1" w14:textId="77777777" w:rsidR="002D585A" w:rsidRPr="0028276E" w:rsidRDefault="002D585A" w:rsidP="002D585A">
      <w:pPr>
        <w:pStyle w:val="Paragrafoelenco"/>
        <w:jc w:val="both"/>
      </w:pPr>
    </w:p>
    <w:p w14:paraId="2DA4E293" w14:textId="5371BF98" w:rsidR="002D585A" w:rsidRDefault="002D585A" w:rsidP="002D585A">
      <w:pPr>
        <w:pStyle w:val="Paragrafoelenco"/>
        <w:jc w:val="both"/>
      </w:pPr>
      <w:r w:rsidRPr="002D585A">
        <w:rPr>
          <w:b/>
        </w:rPr>
        <w:t>NO</w:t>
      </w:r>
      <w:r>
        <w:t>.</w:t>
      </w:r>
      <w:r w:rsidRPr="002D585A">
        <w:t xml:space="preserve"> </w:t>
      </w:r>
      <w:r>
        <w:t>S</w:t>
      </w:r>
      <w:r w:rsidRPr="002D585A">
        <w:t>olo gli estremi dei bandi e delle lettere di invito più significativi (in numero congruo secondo buon senso) relativi soprattutto all’ultimo anno o comunque recenti (ad attestare l’attualità ed effettività della gestione associata se avviata diversi anni fa); oppure si può fare rinvio alla sezione sulle procedure di gara, se presente, del sito web dell’Unione; si precisa che, in generale, ogni flag apposto nelle apposite caselline delle schede funzione (e per le Unioni interessate anche nella scheda virtuosità) comporta necessariamente la compilazione della corrispondente casella (o caselle per le azioni di base) con le indicazioni per controllare (eventualmente, in una fase successiva alla concessione dei contributi) gli strumenti di verifica di effettività  richiesti dal bando (in caso di strumenti massivi, un campione), indicati dalle Unioni stesse.</w:t>
      </w:r>
    </w:p>
    <w:p w14:paraId="4DD002C9" w14:textId="4007A752" w:rsidR="002D585A" w:rsidRDefault="002D585A" w:rsidP="002D585A">
      <w:pPr>
        <w:pStyle w:val="Paragrafoelenco"/>
        <w:jc w:val="both"/>
        <w:rPr>
          <w:b/>
        </w:rPr>
      </w:pPr>
    </w:p>
    <w:p w14:paraId="00AAC784" w14:textId="3039B7B3" w:rsidR="002D585A" w:rsidRDefault="002D585A" w:rsidP="002D585A">
      <w:pPr>
        <w:pStyle w:val="Paragrafoelenco"/>
        <w:numPr>
          <w:ilvl w:val="0"/>
          <w:numId w:val="1"/>
        </w:numPr>
        <w:jc w:val="both"/>
      </w:pPr>
      <w:r w:rsidRPr="002D585A">
        <w:t xml:space="preserve">Nelle diverse schede funzione, a proposito dell’azione </w:t>
      </w:r>
      <w:r>
        <w:t xml:space="preserve">del livello base </w:t>
      </w:r>
      <w:r w:rsidRPr="002D585A">
        <w:rPr>
          <w:b/>
        </w:rPr>
        <w:t xml:space="preserve">Conferimento stanziamenti entrate/spese dai bilanci dei Comuni </w:t>
      </w:r>
      <w:r w:rsidR="00D253AE" w:rsidRPr="002D585A">
        <w:rPr>
          <w:b/>
        </w:rPr>
        <w:t>all’Unione</w:t>
      </w:r>
      <w:r w:rsidR="00D253AE">
        <w:rPr>
          <w:b/>
        </w:rPr>
        <w:t xml:space="preserve">, </w:t>
      </w:r>
      <w:r w:rsidR="00D253AE">
        <w:t>con</w:t>
      </w:r>
      <w:r>
        <w:t xml:space="preserve"> riguardo allo strumento di verifica di effettività </w:t>
      </w:r>
      <w:r w:rsidRPr="00D253AE">
        <w:rPr>
          <w:u w:val="single"/>
        </w:rPr>
        <w:t>Entità degli stanziamenti conferiti nel bilancio preventivo Unione</w:t>
      </w:r>
      <w:r>
        <w:t>, nella corrispondente casella della colonna Indicazione estremi o link dell’atto si può rinviare al Bilancio dell’Unione?</w:t>
      </w:r>
    </w:p>
    <w:p w14:paraId="266DA9E8" w14:textId="1F71B58D" w:rsidR="002D585A" w:rsidRDefault="002D585A" w:rsidP="00D253AE">
      <w:pPr>
        <w:ind w:left="708"/>
        <w:jc w:val="both"/>
      </w:pPr>
      <w:r w:rsidRPr="002D585A">
        <w:rPr>
          <w:b/>
        </w:rPr>
        <w:t>SI’</w:t>
      </w:r>
      <w:r>
        <w:rPr>
          <w:b/>
        </w:rPr>
        <w:t xml:space="preserve">. </w:t>
      </w:r>
      <w:r w:rsidR="00D253AE" w:rsidRPr="00D253AE">
        <w:t>Si p</w:t>
      </w:r>
      <w:r w:rsidR="00D253AE">
        <w:t>ossono</w:t>
      </w:r>
      <w:r w:rsidR="00D253AE" w:rsidRPr="00D253AE">
        <w:t xml:space="preserve"> indicare</w:t>
      </w:r>
      <w:r w:rsidR="00D253AE">
        <w:t>,</w:t>
      </w:r>
      <w:r w:rsidR="00D253AE" w:rsidRPr="00D253AE">
        <w:t xml:space="preserve"> indifferentemente</w:t>
      </w:r>
      <w:r w:rsidR="00D253AE">
        <w:t>,</w:t>
      </w:r>
      <w:r w:rsidR="00D253AE" w:rsidRPr="00D253AE">
        <w:t xml:space="preserve"> gli estremi della deliberazione </w:t>
      </w:r>
      <w:r w:rsidR="00D253AE">
        <w:t xml:space="preserve">consiliare </w:t>
      </w:r>
      <w:r w:rsidR="00D253AE" w:rsidRPr="00D253AE">
        <w:t>di approvazione del bilancio preventivo</w:t>
      </w:r>
      <w:r w:rsidR="00D253AE">
        <w:t xml:space="preserve"> oppure il link al sito in cui il bilancio approvato dell’Unione è reperibile e visualizzabile.</w:t>
      </w:r>
    </w:p>
    <w:p w14:paraId="684E9D7D" w14:textId="274A5FAA" w:rsidR="008D7682" w:rsidRDefault="008D7682" w:rsidP="008D7682">
      <w:pPr>
        <w:pStyle w:val="Paragrafoelenco"/>
        <w:numPr>
          <w:ilvl w:val="0"/>
          <w:numId w:val="1"/>
        </w:numPr>
        <w:jc w:val="both"/>
        <w:rPr>
          <w:b/>
        </w:rPr>
      </w:pPr>
      <w:r w:rsidRPr="008D7682">
        <w:rPr>
          <w:u w:val="single"/>
        </w:rPr>
        <w:t>Per le Unioni in sviluppo e mature</w:t>
      </w:r>
      <w:r>
        <w:t xml:space="preserve">, cosa occorre indicare nella scheda virtuosità, nella casella della colonna denominata Indicazione estremi o link dell’atto in corrispondenza dell’indicatore </w:t>
      </w:r>
      <w:r w:rsidRPr="008D7682">
        <w:rPr>
          <w:b/>
        </w:rPr>
        <w:t>e. L’Unione ha raggiunto la soglia minima dell’indice di effettività</w:t>
      </w:r>
      <w:r>
        <w:rPr>
          <w:b/>
        </w:rPr>
        <w:t>?</w:t>
      </w:r>
    </w:p>
    <w:p w14:paraId="6B44B1BB" w14:textId="20A7D31B" w:rsidR="008D7682" w:rsidRDefault="008D7682" w:rsidP="008D7682">
      <w:pPr>
        <w:ind w:left="708"/>
        <w:jc w:val="both"/>
      </w:pPr>
      <w:r>
        <w:rPr>
          <w:b/>
        </w:rPr>
        <w:t xml:space="preserve">NULLA. </w:t>
      </w:r>
      <w:r w:rsidRPr="008D7682">
        <w:t xml:space="preserve">Trattandosi di un indicatore per il quale la soglia viene calcolata d’ufficio ed infatti è stata tolta nell’ultima colonna la casellina (e pertanto non occorre apporre una </w:t>
      </w:r>
      <w:proofErr w:type="spellStart"/>
      <w:r w:rsidRPr="008D7682">
        <w:t>fleggatura</w:t>
      </w:r>
      <w:proofErr w:type="spellEnd"/>
      <w:r w:rsidRPr="008D7682">
        <w:t xml:space="preserve"> ad hoc)</w:t>
      </w:r>
      <w:r>
        <w:t xml:space="preserve">, si può lasciare vuota la casella di cui trattasi, atteso che per tutte le Unioni in sviluppo e mature (comprese quelle che hanno trasferito tutto il personale comunale, </w:t>
      </w:r>
      <w:r w:rsidR="00FB6962">
        <w:t>le quali</w:t>
      </w:r>
      <w:r>
        <w:t xml:space="preserve"> possono </w:t>
      </w:r>
      <w:r w:rsidR="00FB6962">
        <w:t xml:space="preserve">comunque </w:t>
      </w:r>
      <w:r>
        <w:t>indicare gli atti di recepimento del personale comunale) il calcolo della soglia</w:t>
      </w:r>
      <w:r w:rsidR="003034CB">
        <w:t xml:space="preserve"> di effettività avviene sulla base dei dati </w:t>
      </w:r>
      <w:r w:rsidR="00FB6962">
        <w:t xml:space="preserve">che saranno </w:t>
      </w:r>
      <w:r w:rsidR="003034CB">
        <w:t xml:space="preserve">caricati nell’apposito applicativo </w:t>
      </w:r>
      <w:r w:rsidR="00FB6962">
        <w:t>(entro il 30 maggio) il cui accesso verrà reso disponibile appena possibile.</w:t>
      </w:r>
      <w:r w:rsidR="003034CB">
        <w:t xml:space="preserve"> </w:t>
      </w:r>
    </w:p>
    <w:p w14:paraId="77FC84B0" w14:textId="2829FBFD" w:rsidR="00E234C4" w:rsidRDefault="00E234C4" w:rsidP="00E234C4">
      <w:pPr>
        <w:pStyle w:val="Paragrafoelenco"/>
        <w:numPr>
          <w:ilvl w:val="0"/>
          <w:numId w:val="1"/>
        </w:numPr>
        <w:jc w:val="both"/>
      </w:pPr>
      <w:r>
        <w:t xml:space="preserve">A proposito dei </w:t>
      </w:r>
      <w:r w:rsidRPr="0028276E">
        <w:rPr>
          <w:b/>
        </w:rPr>
        <w:t>SERVIZI SOCIALI</w:t>
      </w:r>
      <w:r>
        <w:t xml:space="preserve">, scheda funzione, </w:t>
      </w:r>
      <w:r w:rsidR="0028276E">
        <w:t>l’</w:t>
      </w:r>
      <w:r>
        <w:t>azione</w:t>
      </w:r>
      <w:r w:rsidR="0028276E">
        <w:t xml:space="preserve"> </w:t>
      </w:r>
      <w:r w:rsidR="0028276E" w:rsidRPr="0028276E">
        <w:rPr>
          <w:b/>
        </w:rPr>
        <w:t xml:space="preserve">Attivazione di tutte e 13 </w:t>
      </w:r>
      <w:r w:rsidR="0028276E">
        <w:rPr>
          <w:b/>
        </w:rPr>
        <w:t xml:space="preserve">le </w:t>
      </w:r>
      <w:r w:rsidR="0028276E" w:rsidRPr="0028276E">
        <w:rPr>
          <w:b/>
        </w:rPr>
        <w:t>attività del livello base</w:t>
      </w:r>
      <w:r w:rsidR="0028276E" w:rsidRPr="0028276E">
        <w:t xml:space="preserve"> (</w:t>
      </w:r>
      <w:r w:rsidR="0028276E" w:rsidRPr="0028276E">
        <w:rPr>
          <w:b/>
        </w:rPr>
        <w:t>entro il triennio</w:t>
      </w:r>
      <w:r w:rsidR="0028276E" w:rsidRPr="0028276E">
        <w:t>)</w:t>
      </w:r>
      <w:r w:rsidR="0028276E">
        <w:t>, che dà diritto al 20% del punteggio, come va intesa? Quando può essere fleggata?</w:t>
      </w:r>
    </w:p>
    <w:p w14:paraId="6DB4CFFB" w14:textId="2F4C94B2" w:rsidR="0028276E" w:rsidRDefault="0028276E" w:rsidP="0028276E">
      <w:pPr>
        <w:ind w:left="708"/>
        <w:jc w:val="both"/>
      </w:pPr>
      <w:r>
        <w:t>Rispetto alla corrispondente scheda funzione utilizzata nel 2018</w:t>
      </w:r>
      <w:r w:rsidR="00DF3BFD">
        <w:t xml:space="preserve"> (che aveva dato adito a diversi dubbi)</w:t>
      </w:r>
      <w:r>
        <w:t xml:space="preserve"> sostanzialmente </w:t>
      </w:r>
      <w:r w:rsidR="00DF3BFD">
        <w:t xml:space="preserve">viene chiarito che </w:t>
      </w:r>
      <w:r>
        <w:t xml:space="preserve">l’azione </w:t>
      </w:r>
      <w:r w:rsidR="00DF3BFD">
        <w:t>è</w:t>
      </w:r>
      <w:r>
        <w:t xml:space="preserve"> inclus</w:t>
      </w:r>
      <w:r w:rsidR="00DF3BFD">
        <w:t>a tra quelle del livello base, ma è necessaria ai fini dell’accesso al finanziamento della funzione SERVIZI SOCIALI entro il triennio del PRT ossia entro il 2020; questo significa che ancora per il 2019 è possibile riconoscere il contributo per il livello base di tale funzione (ossia al 50% del punteggio) anche se non sono attivate tutte e tredici le attività elencate nella parte descrittiva della scheda; nel 2019 l’ulteriore 20% di punteggio è però conseguibile solo se sono già attivate al 30 aprile tutte e 13 le attività</w:t>
      </w:r>
      <w:r w:rsidR="00033EAB">
        <w:t xml:space="preserve"> previste</w:t>
      </w:r>
      <w:r w:rsidR="00DF3BFD">
        <w:t xml:space="preserve">; </w:t>
      </w:r>
      <w:r w:rsidR="001169BE">
        <w:t>nel</w:t>
      </w:r>
      <w:r w:rsidR="00DF3BFD">
        <w:t xml:space="preserve"> 2020 </w:t>
      </w:r>
      <w:r w:rsidR="001169BE">
        <w:lastRenderedPageBreak/>
        <w:t xml:space="preserve">invece </w:t>
      </w:r>
      <w:r w:rsidR="00DF3BFD">
        <w:t xml:space="preserve">non solo devono essere attivate tutte e 13 le attività (per aver diritto al 20% </w:t>
      </w:r>
      <w:r w:rsidR="002A5E7E">
        <w:t>di punteggio ulteriore</w:t>
      </w:r>
      <w:r w:rsidR="00DF3BFD">
        <w:t>) ma tale requisito è necessario</w:t>
      </w:r>
      <w:r w:rsidR="00AC7A98">
        <w:t xml:space="preserve"> </w:t>
      </w:r>
      <w:r w:rsidR="00DF3BFD">
        <w:t xml:space="preserve">per raggiungere il livello base e quindi l’accesso </w:t>
      </w:r>
      <w:r w:rsidR="00AC7A98">
        <w:t xml:space="preserve">stesso </w:t>
      </w:r>
      <w:r w:rsidR="00DF3BFD">
        <w:t>al finanziamento della complessa funzione Servizi sociali</w:t>
      </w:r>
      <w:r w:rsidR="001169BE">
        <w:t xml:space="preserve"> (perché l’ultima azione del livello base diventa definitivamente obbligatoria per accedere all’incentivo</w:t>
      </w:r>
      <w:r w:rsidR="00033EAB">
        <w:t xml:space="preserve">, secondo un criterio di gradualità nel tempo che </w:t>
      </w:r>
      <w:r w:rsidR="00E77859">
        <w:t>può arrivare</w:t>
      </w:r>
      <w:r w:rsidR="00033EAB">
        <w:t xml:space="preserve"> al 2020</w:t>
      </w:r>
      <w:r w:rsidR="00E77859">
        <w:t>,</w:t>
      </w:r>
      <w:r w:rsidR="00033EAB">
        <w:t xml:space="preserve"> ma non oltre</w:t>
      </w:r>
      <w:r w:rsidR="001169BE">
        <w:t>)</w:t>
      </w:r>
      <w:r w:rsidR="00DF3BFD">
        <w:t>.</w:t>
      </w:r>
    </w:p>
    <w:p w14:paraId="27F13740" w14:textId="6B28610B" w:rsidR="0038213C" w:rsidRDefault="0038213C" w:rsidP="0038213C">
      <w:pPr>
        <w:pStyle w:val="Paragrafoelenco"/>
        <w:numPr>
          <w:ilvl w:val="0"/>
          <w:numId w:val="1"/>
        </w:numPr>
        <w:jc w:val="both"/>
      </w:pPr>
      <w:r>
        <w:t xml:space="preserve">Nella </w:t>
      </w:r>
      <w:r w:rsidR="003155C2">
        <w:t>s</w:t>
      </w:r>
      <w:r>
        <w:t xml:space="preserve">cheda funzione </w:t>
      </w:r>
      <w:r w:rsidRPr="0038213C">
        <w:rPr>
          <w:b/>
        </w:rPr>
        <w:t xml:space="preserve">Polizia </w:t>
      </w:r>
      <w:r w:rsidR="000D07B5">
        <w:rPr>
          <w:b/>
        </w:rPr>
        <w:t>municipale</w:t>
      </w:r>
      <w:r w:rsidRPr="0038213C">
        <w:rPr>
          <w:b/>
        </w:rPr>
        <w:t xml:space="preserve">, </w:t>
      </w:r>
      <w:r w:rsidRPr="0038213C">
        <w:t>in relazione all’azione di consolidamento Nuove</w:t>
      </w:r>
      <w:r>
        <w:t xml:space="preserve"> strumentazioni tecniche e specifiche di proprietà o locazione dell’Unione, cosa si intende, quale strumento di verifica di effettività, per Atto organizzativo?</w:t>
      </w:r>
    </w:p>
    <w:p w14:paraId="43926806" w14:textId="62AD8F96" w:rsidR="0038213C" w:rsidRDefault="0038213C" w:rsidP="0038213C">
      <w:pPr>
        <w:pStyle w:val="Paragrafoelenco"/>
        <w:jc w:val="both"/>
      </w:pPr>
    </w:p>
    <w:p w14:paraId="6D44D71A" w14:textId="48A7CD32" w:rsidR="001F2A98" w:rsidRDefault="0038213C" w:rsidP="008F0C21">
      <w:pPr>
        <w:pStyle w:val="Paragrafoelenco"/>
        <w:jc w:val="both"/>
      </w:pPr>
      <w:r>
        <w:t xml:space="preserve">Al fine suddetto, </w:t>
      </w:r>
      <w:r w:rsidR="000D07B5">
        <w:t>è idonea per es.</w:t>
      </w:r>
      <w:r w:rsidRPr="0038213C">
        <w:t xml:space="preserve"> </w:t>
      </w:r>
      <w:r w:rsidR="000D07B5">
        <w:t>un</w:t>
      </w:r>
      <w:r w:rsidRPr="0038213C">
        <w:t>a determina di acquisto delle strumentazioni del servizio unificato di Polizia Locale</w:t>
      </w:r>
      <w:r w:rsidR="000D07B5">
        <w:t>; ciò che rileva è</w:t>
      </w:r>
      <w:r w:rsidRPr="0038213C">
        <w:t xml:space="preserve"> che </w:t>
      </w:r>
      <w:r w:rsidR="000D07B5">
        <w:t>si tratti di atti adottati dall’Unione.</w:t>
      </w:r>
    </w:p>
    <w:p w14:paraId="6877CB4E" w14:textId="56BF6EDD" w:rsidR="003155C2" w:rsidRDefault="003155C2" w:rsidP="008F0C21">
      <w:pPr>
        <w:pStyle w:val="Paragrafoelenco"/>
        <w:jc w:val="both"/>
      </w:pPr>
    </w:p>
    <w:p w14:paraId="090CF3F9" w14:textId="3B33C49C" w:rsidR="003155C2" w:rsidRDefault="003155C2" w:rsidP="003155C2">
      <w:pPr>
        <w:pStyle w:val="Paragrafoelenco"/>
        <w:numPr>
          <w:ilvl w:val="0"/>
          <w:numId w:val="1"/>
        </w:numPr>
        <w:jc w:val="both"/>
      </w:pPr>
      <w:r>
        <w:t xml:space="preserve">Relativamente alla scheda funzione </w:t>
      </w:r>
      <w:r w:rsidRPr="003155C2">
        <w:rPr>
          <w:b/>
        </w:rPr>
        <w:t>Polizia Municipale</w:t>
      </w:r>
      <w:r>
        <w:t xml:space="preserve"> e specificamente all’azione di consolidamento </w:t>
      </w:r>
      <w:r w:rsidR="00A32961">
        <w:t>‘</w:t>
      </w:r>
      <w:r>
        <w:t>Gestione in capo all’Unione delle convenzioni e rapporti con le Associazioni di Volontariato della sicurezza</w:t>
      </w:r>
      <w:r w:rsidR="00A32961">
        <w:t>’</w:t>
      </w:r>
      <w:r>
        <w:t xml:space="preserve">, </w:t>
      </w:r>
      <w:r w:rsidRPr="003155C2">
        <w:t>le convenzioni con i gruppi volontari ausiliari del traffico e i protocolli di vicinato rientrano in queste casistiche</w:t>
      </w:r>
      <w:r>
        <w:t>?</w:t>
      </w:r>
    </w:p>
    <w:p w14:paraId="2B4AA375" w14:textId="78B4F4BD" w:rsidR="003155C2" w:rsidRDefault="003155C2" w:rsidP="003155C2">
      <w:pPr>
        <w:ind w:left="720"/>
        <w:jc w:val="both"/>
      </w:pPr>
      <w:r w:rsidRPr="003155C2">
        <w:rPr>
          <w:b/>
        </w:rPr>
        <w:t>NO.</w:t>
      </w:r>
      <w:r>
        <w:rPr>
          <w:b/>
        </w:rPr>
        <w:t xml:space="preserve"> </w:t>
      </w:r>
      <w:r w:rsidRPr="003155C2">
        <w:t xml:space="preserve">I protocolli di vicinato non rientrano all'interno della azione di consolidamento relativa alle convenzioni stipulate con le Associazioni di volontariato, perché non sono Associazioni di volontariato. I gruppi di vicinato o gruppi di cittadinanza, possono comunque collaborare con la Polizia locale attraverso modalità di raccordo e comunicazione di volta in volta definite sulla base delle direttive approvate dalla Giunta regionale su parere delle competenti Commissioni assembleari e del Consiglio delle Autonomie locali. (ex art.17 </w:t>
      </w:r>
      <w:proofErr w:type="spellStart"/>
      <w:r w:rsidRPr="003155C2">
        <w:t>septies</w:t>
      </w:r>
      <w:proofErr w:type="spellEnd"/>
      <w:r w:rsidRPr="003155C2">
        <w:t>, comma 5, lr.23)</w:t>
      </w:r>
      <w:r>
        <w:t>.</w:t>
      </w:r>
    </w:p>
    <w:p w14:paraId="2B371575" w14:textId="00B72CF8" w:rsidR="003155C2" w:rsidRDefault="003155C2" w:rsidP="003155C2">
      <w:pPr>
        <w:pStyle w:val="Paragrafoelenco"/>
        <w:numPr>
          <w:ilvl w:val="0"/>
          <w:numId w:val="1"/>
        </w:numPr>
        <w:jc w:val="both"/>
      </w:pPr>
      <w:r>
        <w:t xml:space="preserve"> Con riguardo alla scheda funzione </w:t>
      </w:r>
      <w:r w:rsidRPr="00D24FCF">
        <w:rPr>
          <w:b/>
        </w:rPr>
        <w:t>Protezione civile</w:t>
      </w:r>
      <w:r w:rsidR="00D24FCF">
        <w:rPr>
          <w:b/>
        </w:rPr>
        <w:t>, l’</w:t>
      </w:r>
      <w:r w:rsidR="00D24FCF" w:rsidRPr="00D24FCF">
        <w:t xml:space="preserve">azione </w:t>
      </w:r>
      <w:r w:rsidR="00A32961">
        <w:t>‘</w:t>
      </w:r>
      <w:r w:rsidR="00D24FCF">
        <w:t>P</w:t>
      </w:r>
      <w:r w:rsidR="00D24FCF" w:rsidRPr="00D24FCF">
        <w:t>redisposizione di opuscoli/mappe online per individuazione punti di raccolta e recapiti telefonici in caso di event</w:t>
      </w:r>
      <w:r w:rsidR="00D24FCF">
        <w:t>o</w:t>
      </w:r>
      <w:r w:rsidR="00D24FCF" w:rsidRPr="00D24FCF">
        <w:t xml:space="preserve"> calamitos</w:t>
      </w:r>
      <w:r w:rsidR="00D24FCF">
        <w:t>o</w:t>
      </w:r>
      <w:r w:rsidR="00A32961">
        <w:t>’</w:t>
      </w:r>
      <w:r w:rsidR="00D24FCF">
        <w:t xml:space="preserve"> come va intesa?</w:t>
      </w:r>
    </w:p>
    <w:p w14:paraId="17EB6842" w14:textId="239A9084" w:rsidR="00D24FCF" w:rsidRPr="003155C2" w:rsidRDefault="00D24FCF" w:rsidP="00D24FCF">
      <w:pPr>
        <w:ind w:left="708"/>
        <w:jc w:val="both"/>
      </w:pPr>
      <w:r w:rsidRPr="00D24FCF">
        <w:t>È da intendersi che i 2 strumenti, opuscoli e mappe online, possono essere tra di loro alternativi; gli opuscoli dovranno contenere cartine o disegni che rendano facilmente noti i punti di raccolta</w:t>
      </w:r>
      <w:r>
        <w:t>.</w:t>
      </w:r>
    </w:p>
    <w:p w14:paraId="5F49E2CA" w14:textId="77777777" w:rsidR="005B3403" w:rsidRDefault="005B3403"/>
    <w:sectPr w:rsidR="005B3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F26"/>
    <w:multiLevelType w:val="hybridMultilevel"/>
    <w:tmpl w:val="EF8A043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306"/>
    <w:rsid w:val="00033EAB"/>
    <w:rsid w:val="000808A4"/>
    <w:rsid w:val="000B66CC"/>
    <w:rsid w:val="000D07B5"/>
    <w:rsid w:val="001169BE"/>
    <w:rsid w:val="00177C1C"/>
    <w:rsid w:val="001B09F8"/>
    <w:rsid w:val="001F2A98"/>
    <w:rsid w:val="0028276E"/>
    <w:rsid w:val="002A5E7E"/>
    <w:rsid w:val="002D585A"/>
    <w:rsid w:val="002E401F"/>
    <w:rsid w:val="002E4499"/>
    <w:rsid w:val="002F4377"/>
    <w:rsid w:val="003034CB"/>
    <w:rsid w:val="003155C2"/>
    <w:rsid w:val="0038213C"/>
    <w:rsid w:val="00390306"/>
    <w:rsid w:val="004850B5"/>
    <w:rsid w:val="005176C1"/>
    <w:rsid w:val="00525A59"/>
    <w:rsid w:val="00526470"/>
    <w:rsid w:val="00597C77"/>
    <w:rsid w:val="005B3403"/>
    <w:rsid w:val="005D3755"/>
    <w:rsid w:val="00625AC9"/>
    <w:rsid w:val="00656237"/>
    <w:rsid w:val="00757377"/>
    <w:rsid w:val="008218A1"/>
    <w:rsid w:val="00871FD3"/>
    <w:rsid w:val="008D7682"/>
    <w:rsid w:val="008F0C21"/>
    <w:rsid w:val="008F3038"/>
    <w:rsid w:val="00A23779"/>
    <w:rsid w:val="00A32961"/>
    <w:rsid w:val="00A73E00"/>
    <w:rsid w:val="00A844ED"/>
    <w:rsid w:val="00AC7A98"/>
    <w:rsid w:val="00B01A43"/>
    <w:rsid w:val="00BB042F"/>
    <w:rsid w:val="00BF23F5"/>
    <w:rsid w:val="00C4255C"/>
    <w:rsid w:val="00D24FCF"/>
    <w:rsid w:val="00D253AE"/>
    <w:rsid w:val="00D426C6"/>
    <w:rsid w:val="00DF3BFD"/>
    <w:rsid w:val="00E234C4"/>
    <w:rsid w:val="00E32FD9"/>
    <w:rsid w:val="00E43440"/>
    <w:rsid w:val="00E77859"/>
    <w:rsid w:val="00EE2A91"/>
    <w:rsid w:val="00F4582B"/>
    <w:rsid w:val="00FA03A4"/>
    <w:rsid w:val="00FB6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140B"/>
  <w15:chartTrackingRefBased/>
  <w15:docId w15:val="{02E18DB6-3CF9-4A55-A968-4443804D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3403"/>
    <w:pPr>
      <w:ind w:left="720"/>
      <w:contextualSpacing/>
    </w:pPr>
  </w:style>
  <w:style w:type="character" w:styleId="Collegamentoipertestuale">
    <w:name w:val="Hyperlink"/>
    <w:basedOn w:val="Carpredefinitoparagrafo"/>
    <w:uiPriority w:val="99"/>
    <w:unhideWhenUsed/>
    <w:rsid w:val="00E32FD9"/>
    <w:rPr>
      <w:color w:val="0000FF" w:themeColor="hyperlink"/>
      <w:u w:val="single"/>
    </w:rPr>
  </w:style>
  <w:style w:type="character" w:styleId="Menzionenonrisolta">
    <w:name w:val="Unresolved Mention"/>
    <w:basedOn w:val="Carpredefinitoparagrafo"/>
    <w:uiPriority w:val="99"/>
    <w:semiHidden/>
    <w:unhideWhenUsed/>
    <w:rsid w:val="00E3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1914</Words>
  <Characters>10911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Fiorini Graziella</dc:creator>
  <cp:keywords/>
  <dc:description/>
  <cp:lastModifiedBy>Casadio Simona</cp:lastModifiedBy>
  <cp:revision>3</cp:revision>
  <cp:lastPrinted>2019-04-18T07:31:00Z</cp:lastPrinted>
  <dcterms:created xsi:type="dcterms:W3CDTF">2019-04-16T08:21:00Z</dcterms:created>
  <dcterms:modified xsi:type="dcterms:W3CDTF">2019-04-18T07:38:00Z</dcterms:modified>
</cp:coreProperties>
</file>