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EA36" w14:textId="28CC69A9" w:rsidR="00A67E40" w:rsidRPr="007E2C28" w:rsidRDefault="0060515C">
      <w:pPr>
        <w:shd w:val="clear" w:color="auto" w:fill="2F5496" w:themeFill="accent1" w:themeFillShade="BF"/>
        <w:spacing w:after="0" w:line="244" w:lineRule="auto"/>
        <w:ind w:left="-426"/>
        <w:rPr>
          <w:rFonts w:ascii="Barlow" w:hAnsi="Barlow"/>
          <w:sz w:val="28"/>
          <w:szCs w:val="28"/>
        </w:rPr>
      </w:pPr>
      <w:r w:rsidRPr="007E2C28">
        <w:rPr>
          <w:rFonts w:ascii="Barlow" w:eastAsia="Verdana" w:hAnsi="Barlow" w:cs="Verdana"/>
          <w:b/>
          <w:bCs/>
          <w:color w:val="FFFFFF" w:themeColor="background1"/>
          <w:sz w:val="28"/>
          <w:szCs w:val="28"/>
        </w:rPr>
        <w:t>TRIBUTI</w:t>
      </w:r>
    </w:p>
    <w:tbl>
      <w:tblPr>
        <w:tblStyle w:val="Tabellagriglia1chiara-colore6"/>
        <w:tblW w:w="14737" w:type="dxa"/>
        <w:tblInd w:w="-431" w:type="dxa"/>
        <w:tblLook w:val="04A0" w:firstRow="1" w:lastRow="0" w:firstColumn="1" w:lastColumn="0" w:noHBand="0" w:noVBand="1"/>
      </w:tblPr>
      <w:tblGrid>
        <w:gridCol w:w="6672"/>
        <w:gridCol w:w="2531"/>
        <w:gridCol w:w="3485"/>
        <w:gridCol w:w="1183"/>
        <w:gridCol w:w="866"/>
      </w:tblGrid>
      <w:tr w:rsidR="00A67E40" w:rsidRPr="007E2C28" w14:paraId="3EE6597F" w14:textId="77777777" w:rsidTr="00A67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5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0E3CC7DA" w14:textId="44FE4472" w:rsidR="00A67E40" w:rsidRPr="007E2C28" w:rsidRDefault="0060515C">
            <w:pPr>
              <w:spacing w:before="120" w:after="120" w:line="244" w:lineRule="auto"/>
              <w:rPr>
                <w:rFonts w:ascii="Barlow" w:hAnsi="Barlow" w:cs="Times New Roman"/>
                <w:b w:val="0"/>
                <w:bCs w:val="0"/>
              </w:rPr>
            </w:pPr>
            <w:r w:rsidRPr="007E2C28">
              <w:rPr>
                <w:rFonts w:ascii="Barlow" w:hAnsi="Barlow" w:cs="Times New Roman"/>
              </w:rPr>
              <w:t xml:space="preserve">Descrizione della funzione </w:t>
            </w:r>
          </w:p>
          <w:p w14:paraId="4CCBAC72" w14:textId="11397F88" w:rsidR="00A67E40" w:rsidRPr="007E2C28" w:rsidRDefault="0060515C">
            <w:pPr>
              <w:jc w:val="both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La gestione associata mira a conseguire modalità di gestione più efficienti e più efficaci nella gestione dei tributi e delle entrate comunali aventi natura tributaria e come tali appartenenti alla fiscalità locale.</w:t>
            </w:r>
          </w:p>
          <w:p w14:paraId="3CA363E0" w14:textId="77777777" w:rsidR="00A67E40" w:rsidRPr="007E2C28" w:rsidRDefault="0060515C">
            <w:pPr>
              <w:spacing w:after="0"/>
              <w:rPr>
                <w:rFonts w:ascii="Barlow" w:hAnsi="Barlow" w:cs="Times New Roman"/>
                <w:b w:val="0"/>
              </w:rPr>
            </w:pPr>
            <w:r w:rsidRPr="007E2C28">
              <w:rPr>
                <w:rFonts w:ascii="Barlow" w:hAnsi="Barlow" w:cs="Times New Roman"/>
              </w:rPr>
              <w:t>Il conferimento all’Unione da parte dei Comuni aderenti della funzione deve riguardare le seguenti attività:</w:t>
            </w:r>
          </w:p>
          <w:p w14:paraId="633B4B0F" w14:textId="77777777" w:rsidR="00A67E40" w:rsidRPr="007E2C28" w:rsidRDefault="00A67E40">
            <w:pPr>
              <w:spacing w:after="0"/>
              <w:rPr>
                <w:rFonts w:ascii="Barlow" w:hAnsi="Barlow" w:cs="Times New Roman"/>
              </w:rPr>
            </w:pPr>
          </w:p>
          <w:p w14:paraId="74BB719C" w14:textId="409573B1" w:rsidR="00A67E40" w:rsidRPr="007E2C28" w:rsidRDefault="0060515C">
            <w:pPr>
              <w:numPr>
                <w:ilvl w:val="0"/>
                <w:numId w:val="1"/>
              </w:numPr>
              <w:suppressAutoHyphens/>
              <w:spacing w:line="288" w:lineRule="auto"/>
              <w:textAlignment w:val="baseline"/>
              <w:rPr>
                <w:rFonts w:ascii="Barlow" w:hAnsi="Barlow" w:cs="Times New Roman"/>
                <w:b w:val="0"/>
                <w:bCs w:val="0"/>
              </w:rPr>
            </w:pPr>
            <w:r w:rsidRPr="007E2C28">
              <w:rPr>
                <w:rFonts w:ascii="Barlow" w:hAnsi="Barlow" w:cs="Times New Roman"/>
                <w:b w:val="0"/>
                <w:bCs w:val="0"/>
              </w:rPr>
              <w:t>GESTIONE ORDINARIA TRIBUTI: servizio informazioni, raccolta delle dichiarazioni</w:t>
            </w:r>
          </w:p>
          <w:p w14:paraId="560274D7" w14:textId="088867CB" w:rsidR="00A67E40" w:rsidRPr="007E2C28" w:rsidRDefault="0060515C">
            <w:pPr>
              <w:numPr>
                <w:ilvl w:val="0"/>
                <w:numId w:val="1"/>
              </w:numPr>
              <w:suppressAutoHyphens/>
              <w:spacing w:line="288" w:lineRule="auto"/>
              <w:textAlignment w:val="baseline"/>
              <w:rPr>
                <w:rFonts w:ascii="Barlow" w:hAnsi="Barlow"/>
                <w:b w:val="0"/>
                <w:bCs w:val="0"/>
                <w:strike/>
              </w:rPr>
            </w:pPr>
            <w:r w:rsidRPr="007E2C28">
              <w:rPr>
                <w:rFonts w:ascii="Barlow" w:hAnsi="Barlow" w:cs="Times New Roman"/>
                <w:b w:val="0"/>
                <w:bCs w:val="0"/>
              </w:rPr>
              <w:t>ACCERTAMENTO TRIBUTI: gestione dell’attività di accertamento: verifica di pagamenti e denunce</w:t>
            </w:r>
            <w:r w:rsidR="002606BD" w:rsidRPr="007E2C28">
              <w:rPr>
                <w:rFonts w:ascii="Barlow" w:hAnsi="Barlow" w:cs="Times New Roman"/>
                <w:b w:val="0"/>
                <w:bCs w:val="0"/>
              </w:rPr>
              <w:t>, predisposizione e notifica accertamenti esecutivi (omesso versamento, infedele od omessa dichiarazione)</w:t>
            </w:r>
            <w:r w:rsidR="00364265" w:rsidRPr="007E2C28">
              <w:rPr>
                <w:rFonts w:ascii="Barlow" w:hAnsi="Barlow" w:cs="Times New Roman"/>
                <w:b w:val="0"/>
                <w:bCs w:val="0"/>
              </w:rPr>
              <w:t>.</w:t>
            </w:r>
          </w:p>
          <w:p w14:paraId="617EB1FB" w14:textId="70865691" w:rsidR="002606BD" w:rsidRPr="007E2C28" w:rsidRDefault="002606BD">
            <w:pPr>
              <w:numPr>
                <w:ilvl w:val="0"/>
                <w:numId w:val="1"/>
              </w:numPr>
              <w:suppressAutoHyphens/>
              <w:spacing w:line="288" w:lineRule="auto"/>
              <w:jc w:val="both"/>
              <w:textAlignment w:val="baseline"/>
              <w:rPr>
                <w:rFonts w:ascii="Barlow" w:hAnsi="Barlow"/>
                <w:b w:val="0"/>
                <w:bCs w:val="0"/>
              </w:rPr>
            </w:pPr>
            <w:r w:rsidRPr="007E2C28">
              <w:rPr>
                <w:rFonts w:ascii="Barlow" w:hAnsi="Barlow"/>
                <w:b w:val="0"/>
                <w:bCs w:val="0"/>
              </w:rPr>
              <w:t xml:space="preserve">PRE CONTENZIOSO: gestione degli strumenti deflattivi del contenzioso: </w:t>
            </w:r>
            <w:r w:rsidR="00E80A4A" w:rsidRPr="007E2C28">
              <w:rPr>
                <w:rFonts w:ascii="Barlow" w:hAnsi="Barlow"/>
                <w:b w:val="0"/>
                <w:bCs w:val="0"/>
              </w:rPr>
              <w:t>autotutela, accertamento con adesione (se previsto).</w:t>
            </w:r>
          </w:p>
          <w:p w14:paraId="37495005" w14:textId="04296D3E" w:rsidR="00A67E40" w:rsidRPr="007E2C28" w:rsidRDefault="0060515C">
            <w:pPr>
              <w:numPr>
                <w:ilvl w:val="0"/>
                <w:numId w:val="1"/>
              </w:numPr>
              <w:suppressAutoHyphens/>
              <w:spacing w:line="288" w:lineRule="auto"/>
              <w:jc w:val="both"/>
              <w:textAlignment w:val="baseline"/>
              <w:rPr>
                <w:rFonts w:ascii="Barlow" w:hAnsi="Barlow"/>
                <w:b w:val="0"/>
                <w:bCs w:val="0"/>
              </w:rPr>
            </w:pPr>
            <w:r w:rsidRPr="007E2C28">
              <w:rPr>
                <w:rFonts w:ascii="Barlow" w:hAnsi="Barlow" w:cs="Times New Roman"/>
                <w:b w:val="0"/>
                <w:bCs w:val="0"/>
              </w:rPr>
              <w:t xml:space="preserve">CONTENZIOSO: </w:t>
            </w:r>
            <w:r w:rsidR="00033423" w:rsidRPr="007E2C28">
              <w:rPr>
                <w:rFonts w:ascii="Barlow" w:hAnsi="Barlow" w:cs="Times New Roman"/>
                <w:b w:val="0"/>
                <w:bCs w:val="0"/>
              </w:rPr>
              <w:t>coordinamento/</w:t>
            </w:r>
            <w:r w:rsidRPr="007E2C28">
              <w:rPr>
                <w:rFonts w:ascii="Barlow" w:hAnsi="Barlow" w:cs="Times New Roman"/>
                <w:b w:val="0"/>
                <w:bCs w:val="0"/>
              </w:rPr>
              <w:t>gestione</w:t>
            </w:r>
            <w:r w:rsidR="002606BD" w:rsidRPr="007E2C28">
              <w:rPr>
                <w:rFonts w:ascii="Barlow" w:hAnsi="Barlow" w:cs="Times New Roman"/>
                <w:b w:val="0"/>
                <w:bCs w:val="0"/>
              </w:rPr>
              <w:t xml:space="preserve"> </w:t>
            </w:r>
            <w:r w:rsidR="00E80A4A" w:rsidRPr="007E2C28">
              <w:rPr>
                <w:rFonts w:ascii="Barlow" w:hAnsi="Barlow" w:cs="Times New Roman"/>
                <w:b w:val="0"/>
                <w:bCs w:val="0"/>
              </w:rPr>
              <w:t>diretta del contenzioso</w:t>
            </w:r>
            <w:r w:rsidR="00F85851" w:rsidRPr="007E2C28">
              <w:rPr>
                <w:rFonts w:ascii="Barlow" w:hAnsi="Barlow" w:cs="Times New Roman"/>
                <w:b w:val="0"/>
                <w:bCs w:val="0"/>
              </w:rPr>
              <w:t xml:space="preserve"> di merito</w:t>
            </w:r>
            <w:r w:rsidR="00E80A4A" w:rsidRPr="007E2C28">
              <w:rPr>
                <w:rFonts w:ascii="Barlow" w:hAnsi="Barlow" w:cs="Times New Roman"/>
                <w:b w:val="0"/>
                <w:bCs w:val="0"/>
              </w:rPr>
              <w:t xml:space="preserve">: </w:t>
            </w:r>
            <w:r w:rsidR="00F85851" w:rsidRPr="007E2C28">
              <w:rPr>
                <w:rFonts w:ascii="Barlow" w:hAnsi="Barlow" w:cs="Times New Roman"/>
                <w:b w:val="0"/>
                <w:bCs w:val="0"/>
              </w:rPr>
              <w:t xml:space="preserve">predisposizione controdeduzioni ed appelli, conciliazioni ed altri atti processuali; deposito atti mediante procedura SIGIT; partecipazione udienze; gestione procedure affidamento incarichi ricorsi per Cassazione. </w:t>
            </w:r>
          </w:p>
          <w:p w14:paraId="2C6983D5" w14:textId="77777777" w:rsidR="00A67E40" w:rsidRPr="007E2C28" w:rsidRDefault="0060515C">
            <w:pPr>
              <w:numPr>
                <w:ilvl w:val="0"/>
                <w:numId w:val="1"/>
              </w:numPr>
              <w:suppressAutoHyphens/>
              <w:spacing w:line="288" w:lineRule="auto"/>
              <w:textAlignment w:val="baseline"/>
              <w:rPr>
                <w:rFonts w:ascii="Barlow" w:hAnsi="Barlow" w:cs="Times New Roman"/>
                <w:b w:val="0"/>
                <w:bCs w:val="0"/>
              </w:rPr>
            </w:pPr>
            <w:r w:rsidRPr="007E2C28">
              <w:rPr>
                <w:rFonts w:ascii="Barlow" w:hAnsi="Barlow" w:cs="Times New Roman"/>
                <w:b w:val="0"/>
                <w:bCs w:val="0"/>
              </w:rPr>
              <w:t xml:space="preserve">REGOLAMENTAZIONE E INTERPRETAZIONE: stesura di regolamenti uniformi, circolari, note interpretative </w:t>
            </w:r>
          </w:p>
          <w:p w14:paraId="66F35FE3" w14:textId="68F053D2" w:rsidR="00A67E40" w:rsidRPr="007E2C28" w:rsidRDefault="0060515C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88" w:lineRule="auto"/>
              <w:textAlignment w:val="baseline"/>
              <w:rPr>
                <w:rFonts w:ascii="Barlow" w:hAnsi="Barlow"/>
                <w:b w:val="0"/>
                <w:bCs w:val="0"/>
                <w:sz w:val="22"/>
              </w:rPr>
            </w:pPr>
            <w:r w:rsidRPr="007E2C28">
              <w:rPr>
                <w:rFonts w:ascii="Barlow" w:hAnsi="Barlow" w:cs="Times New Roman"/>
                <w:b w:val="0"/>
                <w:bCs w:val="0"/>
                <w:sz w:val="22"/>
              </w:rPr>
              <w:t xml:space="preserve">GESTIONE RISCOSSIONE COATTIVA: coordinamento delle attività di gestione diretta o attraverso </w:t>
            </w:r>
            <w:r w:rsidR="00F85851" w:rsidRPr="007E2C28">
              <w:rPr>
                <w:rFonts w:ascii="Barlow" w:hAnsi="Barlow" w:cs="Times New Roman"/>
                <w:b w:val="0"/>
                <w:bCs w:val="0"/>
                <w:sz w:val="22"/>
              </w:rPr>
              <w:t>concessionari privat</w:t>
            </w:r>
            <w:r w:rsidR="00033423" w:rsidRPr="007E2C28">
              <w:rPr>
                <w:rFonts w:ascii="Barlow" w:hAnsi="Barlow" w:cs="Times New Roman"/>
                <w:b w:val="0"/>
                <w:bCs w:val="0"/>
                <w:sz w:val="22"/>
              </w:rPr>
              <w:t>i</w:t>
            </w:r>
            <w:r w:rsidR="00F85851" w:rsidRPr="007E2C28">
              <w:rPr>
                <w:rFonts w:ascii="Barlow" w:hAnsi="Barlow" w:cs="Times New Roman"/>
                <w:b w:val="0"/>
                <w:bCs w:val="0"/>
                <w:sz w:val="22"/>
              </w:rPr>
              <w:t xml:space="preserve"> (albo ex art. 53, d.lgs. 446/1997) </w:t>
            </w:r>
            <w:r w:rsidRPr="007E2C28">
              <w:rPr>
                <w:rFonts w:ascii="Barlow" w:hAnsi="Barlow" w:cs="Times New Roman"/>
                <w:b w:val="0"/>
                <w:bCs w:val="0"/>
                <w:sz w:val="22"/>
              </w:rPr>
              <w:t>o Agenzia Entrate-Riscossioni</w:t>
            </w:r>
          </w:p>
          <w:p w14:paraId="21B27BAE" w14:textId="20DD6BFB" w:rsidR="00A67E40" w:rsidRPr="007E2C28" w:rsidRDefault="0060515C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88" w:lineRule="auto"/>
              <w:jc w:val="both"/>
              <w:textAlignment w:val="baseline"/>
              <w:rPr>
                <w:rFonts w:ascii="Barlow" w:hAnsi="Barlow"/>
                <w:b w:val="0"/>
                <w:bCs w:val="0"/>
                <w:sz w:val="22"/>
              </w:rPr>
            </w:pPr>
            <w:r w:rsidRPr="007E2C28">
              <w:rPr>
                <w:rFonts w:ascii="Barlow" w:hAnsi="Barlow" w:cs="Times New Roman"/>
                <w:b w:val="0"/>
                <w:bCs w:val="0"/>
                <w:sz w:val="22"/>
              </w:rPr>
              <w:t>PROCEDURE CAUTELARI ED ESECUTIVE:</w:t>
            </w:r>
            <w:r w:rsidR="00F85851" w:rsidRPr="007E2C28">
              <w:rPr>
                <w:rFonts w:ascii="Barlow" w:hAnsi="Barlow" w:cs="Times New Roman"/>
                <w:b w:val="0"/>
                <w:bCs w:val="0"/>
                <w:sz w:val="22"/>
              </w:rPr>
              <w:t xml:space="preserve"> nel caso di riscossione coattiva diretta,</w:t>
            </w:r>
            <w:r w:rsidRPr="007E2C28">
              <w:rPr>
                <w:rFonts w:ascii="Barlow" w:hAnsi="Barlow" w:cs="Times New Roman"/>
                <w:b w:val="0"/>
                <w:bCs w:val="0"/>
                <w:sz w:val="22"/>
              </w:rPr>
              <w:t xml:space="preserve"> gestione delle procedure cautelari, quali il preavviso di fermo amministrativo</w:t>
            </w:r>
            <w:r w:rsidR="00F85851" w:rsidRPr="007E2C28">
              <w:rPr>
                <w:rFonts w:ascii="Barlow" w:hAnsi="Barlow" w:cs="Times New Roman"/>
                <w:b w:val="0"/>
                <w:bCs w:val="0"/>
                <w:sz w:val="22"/>
              </w:rPr>
              <w:t xml:space="preserve"> ed iscrizione ipoteca, </w:t>
            </w:r>
            <w:r w:rsidRPr="007E2C28">
              <w:rPr>
                <w:rFonts w:ascii="Barlow" w:hAnsi="Barlow" w:cs="Times New Roman"/>
                <w:b w:val="0"/>
                <w:bCs w:val="0"/>
                <w:sz w:val="22"/>
              </w:rPr>
              <w:t>gestione delle procedure esecutive</w:t>
            </w:r>
            <w:r w:rsidR="00F85851" w:rsidRPr="007E2C28">
              <w:rPr>
                <w:rFonts w:ascii="Barlow" w:hAnsi="Barlow" w:cs="Times New Roman"/>
                <w:b w:val="0"/>
                <w:bCs w:val="0"/>
                <w:sz w:val="22"/>
              </w:rPr>
              <w:t xml:space="preserve"> mobiliari ed immobiliari.</w:t>
            </w:r>
          </w:p>
          <w:p w14:paraId="573F917C" w14:textId="77777777" w:rsidR="00A67E40" w:rsidRPr="007E2C28" w:rsidRDefault="00A67E40">
            <w:pPr>
              <w:spacing w:after="0" w:line="288" w:lineRule="auto"/>
              <w:ind w:left="720"/>
              <w:rPr>
                <w:rFonts w:ascii="Barlow" w:hAnsi="Barlow" w:cs="Times New Roman"/>
                <w:b w:val="0"/>
                <w:bCs w:val="0"/>
              </w:rPr>
            </w:pPr>
          </w:p>
          <w:p w14:paraId="3CBD22A1" w14:textId="291D9C39" w:rsidR="00A67E40" w:rsidRPr="007E2C28" w:rsidRDefault="0060515C">
            <w:pPr>
              <w:spacing w:after="0"/>
              <w:rPr>
                <w:rFonts w:ascii="Barlow" w:hAnsi="Barlow"/>
              </w:rPr>
            </w:pPr>
            <w:r w:rsidRPr="007E2C28">
              <w:rPr>
                <w:rFonts w:ascii="Barlow" w:hAnsi="Barlow" w:cs="Times New Roman"/>
                <w:b w:val="0"/>
                <w:bCs w:val="0"/>
              </w:rPr>
              <w:t xml:space="preserve">v. schema tipo convenzione link </w:t>
            </w:r>
            <w:hyperlink r:id="rId9" w:history="1">
              <w:r w:rsidR="007C146F" w:rsidRPr="007C146F">
                <w:rPr>
                  <w:rStyle w:val="Collegamentoipertestuale"/>
                  <w:b w:val="0"/>
                  <w:bCs w:val="0"/>
                </w:rPr>
                <w:t>https://autonomie.regione.emilia-romagna.it/unioni-di-comuni/programma-di-riordino-territoriale/prt-2024-2026</w:t>
              </w:r>
            </w:hyperlink>
            <w:r w:rsidR="007C146F">
              <w:t xml:space="preserve"> </w:t>
            </w:r>
          </w:p>
        </w:tc>
      </w:tr>
      <w:tr w:rsidR="007E2C28" w:rsidRPr="007E2C28" w14:paraId="61114F1B" w14:textId="77777777" w:rsidTr="007E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26044344" w14:textId="77777777" w:rsidR="007E2C28" w:rsidRPr="007E2C28" w:rsidRDefault="007E2C28">
            <w:pPr>
              <w:spacing w:after="0" w:line="244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0C955149" w14:textId="77777777" w:rsidR="007E2C28" w:rsidRPr="007E2C28" w:rsidRDefault="007E2C28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575C1F3B" w14:textId="5DF5BBA1" w:rsidR="007E2C28" w:rsidRPr="007E2C28" w:rsidRDefault="007E2C28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</w:t>
            </w:r>
            <w:r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e </w:t>
            </w: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link dell’atto </w:t>
            </w:r>
          </w:p>
        </w:tc>
        <w:tc>
          <w:tcPr>
            <w:tcW w:w="1837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72DBF50" w14:textId="10C4AA43" w:rsidR="007E2C28" w:rsidRPr="006505ED" w:rsidRDefault="007E2C28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/>
              </w:rPr>
            </w:pPr>
            <w:r w:rsidRPr="006505ED">
              <w:rPr>
                <w:rFonts w:ascii="Barlow" w:hAnsi="Barlow" w:cs="Times New Roman"/>
                <w:color w:val="2F5496" w:themeColor="accent1" w:themeShade="BF"/>
              </w:rPr>
              <w:t>Contributo in % punteggio</w:t>
            </w:r>
          </w:p>
        </w:tc>
      </w:tr>
      <w:tr w:rsidR="00A67E40" w:rsidRPr="007E2C28" w14:paraId="5E80CB97" w14:textId="77777777" w:rsidTr="007E2C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0149FFD" w14:textId="77777777" w:rsidR="00A67E40" w:rsidRPr="007E2C28" w:rsidRDefault="0060515C">
            <w:pPr>
              <w:spacing w:after="0" w:line="240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t xml:space="preserve">Conferimento della funzione e attivazione delle attività sopra richiamate 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24A9D4D" w14:textId="172B91A8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Convenzione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3817E7E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9DE9AB6" w14:textId="77777777" w:rsidR="00A67E40" w:rsidRPr="007E2C28" w:rsidRDefault="006051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50%</w:t>
            </w:r>
          </w:p>
        </w:tc>
        <w:tc>
          <w:tcPr>
            <w:tcW w:w="880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Barlow" w:hAnsi="Barlow"/>
              </w:rPr>
              <w:id w:val="4724886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BE22A61" w14:textId="77777777" w:rsidR="00A67E40" w:rsidRPr="007E2C28" w:rsidRDefault="0060515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7E2C28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67E40" w:rsidRPr="007E2C28" w14:paraId="763DE362" w14:textId="77777777" w:rsidTr="007E2C2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0E0F3F8B" w14:textId="77777777" w:rsidR="00A67E40" w:rsidRPr="007E2C28" w:rsidRDefault="0060515C">
            <w:pPr>
              <w:spacing w:after="0" w:line="240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t>Istituzione della struttura organizzativa in Unione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A05693F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 xml:space="preserve">Organigramma 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CA3871B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957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6882DBF7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880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7F3D85AB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/>
              </w:rPr>
            </w:pPr>
          </w:p>
        </w:tc>
      </w:tr>
      <w:tr w:rsidR="00A67E40" w:rsidRPr="007E2C28" w14:paraId="720586E5" w14:textId="77777777" w:rsidTr="007E2C2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F4926F4" w14:textId="7D7F89FB" w:rsidR="00A67E40" w:rsidRPr="007E2C28" w:rsidRDefault="0060515C">
            <w:pPr>
              <w:spacing w:after="0" w:line="240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t>Responsabile</w:t>
            </w:r>
            <w:r w:rsidR="003E696B" w:rsidRPr="007E2C28">
              <w:rPr>
                <w:rFonts w:ascii="Barlow" w:hAnsi="Barlow" w:cs="Times New Roman"/>
                <w:b w:val="0"/>
              </w:rPr>
              <w:t xml:space="preserve"> unico </w:t>
            </w:r>
            <w:r w:rsidRPr="007E2C28">
              <w:rPr>
                <w:rFonts w:ascii="Barlow" w:hAnsi="Barlow" w:cs="Times New Roman"/>
                <w:b w:val="0"/>
              </w:rPr>
              <w:t>gestione ordinaria tributi</w:t>
            </w:r>
            <w:r w:rsidR="003E696B" w:rsidRPr="007E2C28">
              <w:rPr>
                <w:rFonts w:ascii="Barlow" w:hAnsi="Barlow" w:cs="Times New Roman"/>
                <w:b w:val="0"/>
              </w:rPr>
              <w:t>, accertamento tributi/entrate patrimoniali, contenzioso, riscossione coattiva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4683E52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Atto nomina (può essere lo stesso)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5E2BCE44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957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5194F7EB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880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5AF7DDD1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/>
              </w:rPr>
            </w:pPr>
          </w:p>
        </w:tc>
      </w:tr>
      <w:tr w:rsidR="00A67E40" w:rsidRPr="007E2C28" w14:paraId="2DC3B66E" w14:textId="77777777" w:rsidTr="007E2C2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4A4CA728" w14:textId="77777777" w:rsidR="00A67E40" w:rsidRPr="007E2C28" w:rsidRDefault="0060515C">
            <w:pPr>
              <w:spacing w:after="0" w:line="244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lastRenderedPageBreak/>
              <w:t>Conferimento del personale (con decorrenza entro l’anno se nuova funzione)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9B583BE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Atti organizzativi (personale trasferito/</w:t>
            </w:r>
          </w:p>
          <w:p w14:paraId="438C0489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comandato)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D96E6FD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957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51287557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880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182A6725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/>
              </w:rPr>
            </w:pPr>
          </w:p>
        </w:tc>
      </w:tr>
      <w:tr w:rsidR="00A67E40" w:rsidRPr="007E2C28" w14:paraId="0C2670D8" w14:textId="77777777" w:rsidTr="007E2C2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483A7872" w14:textId="77777777" w:rsidR="00A67E40" w:rsidRPr="007E2C28" w:rsidRDefault="0060515C">
            <w:pPr>
              <w:spacing w:after="0" w:line="244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color w:val="2F5496" w:themeColor="accent1" w:themeShade="BF"/>
              </w:rPr>
              <w:t>Azioni obbligatorie per accedere all’incentivo (livello base)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062B8921" w14:textId="77777777" w:rsidR="00A67E40" w:rsidRPr="007E2C28" w:rsidRDefault="0060515C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</w:t>
            </w:r>
          </w:p>
          <w:p w14:paraId="4F38770D" w14:textId="77777777" w:rsidR="00A67E40" w:rsidRPr="007E2C28" w:rsidRDefault="0060515C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 di effettività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443C132D" w14:textId="77777777" w:rsidR="00A67E40" w:rsidRPr="007E2C28" w:rsidRDefault="0060515C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 xml:space="preserve">Indicazione estremi o link dell’atto </w:t>
            </w:r>
          </w:p>
        </w:tc>
        <w:tc>
          <w:tcPr>
            <w:tcW w:w="957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4FB87CF0" w14:textId="77777777" w:rsidR="00A67E40" w:rsidRPr="007E2C28" w:rsidRDefault="00A67E40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/>
              </w:rPr>
            </w:pPr>
          </w:p>
        </w:tc>
        <w:tc>
          <w:tcPr>
            <w:tcW w:w="880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39DE9FC" w14:textId="77777777" w:rsidR="00A67E40" w:rsidRPr="007E2C28" w:rsidRDefault="00A67E40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/>
              </w:rPr>
            </w:pPr>
          </w:p>
        </w:tc>
      </w:tr>
      <w:tr w:rsidR="00A67E40" w:rsidRPr="007E2C28" w14:paraId="31969696" w14:textId="77777777" w:rsidTr="007E2C2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9C3D188" w14:textId="2240738C" w:rsidR="00A67E40" w:rsidRPr="007E2C28" w:rsidRDefault="0060515C">
            <w:pPr>
              <w:spacing w:after="0" w:line="244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t>Conferimento stanziamenti entrate/spese dai bilanci dei Comuni all’Unione</w:t>
            </w:r>
            <w:r w:rsidR="00F23D26" w:rsidRPr="007E2C28">
              <w:rPr>
                <w:rFonts w:ascii="Barlow" w:hAnsi="Barlow" w:cs="Times New Roman"/>
                <w:b w:val="0"/>
              </w:rPr>
              <w:t xml:space="preserve"> (ad esclusione di quelli la cui titolarità è in capo ai comuni)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284A17B0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Entità degli stanziamenti conferiti nel Bilancio preventivo Unione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D7B8724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957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46FC3F81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880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561D0005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/>
              </w:rPr>
            </w:pPr>
          </w:p>
        </w:tc>
      </w:tr>
      <w:tr w:rsidR="00A67E40" w:rsidRPr="007E2C28" w14:paraId="5E5B8322" w14:textId="77777777" w:rsidTr="007E2C2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91BB901" w14:textId="759176D1" w:rsidR="00A67E40" w:rsidRPr="007E2C28" w:rsidRDefault="0060515C">
            <w:pPr>
              <w:spacing w:after="0" w:line="244" w:lineRule="auto"/>
              <w:rPr>
                <w:rFonts w:ascii="Barlow" w:hAnsi="Barlow"/>
              </w:rPr>
            </w:pPr>
            <w:r w:rsidRPr="007E2C28">
              <w:rPr>
                <w:rFonts w:ascii="Barlow" w:hAnsi="Barlow" w:cs="Times New Roman"/>
                <w:b w:val="0"/>
              </w:rPr>
              <w:t>Gestione central</w:t>
            </w:r>
            <w:r w:rsidR="002D2F11" w:rsidRPr="007E2C28">
              <w:rPr>
                <w:rFonts w:ascii="Barlow" w:hAnsi="Barlow" w:cs="Times New Roman"/>
                <w:b w:val="0"/>
              </w:rPr>
              <w:t>izzata</w:t>
            </w:r>
            <w:r w:rsidRPr="007E2C28">
              <w:rPr>
                <w:rFonts w:ascii="Barlow" w:hAnsi="Barlow" w:cs="Times New Roman"/>
                <w:b w:val="0"/>
              </w:rPr>
              <w:t xml:space="preserve"> dei rapporti con l’agente della riscossione (consegna dei carichi per la riscossione coattiva)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7954444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 xml:space="preserve">Atti attuativi 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468A391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957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D57DAB9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880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5E6EDE85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/>
              </w:rPr>
            </w:pPr>
          </w:p>
        </w:tc>
      </w:tr>
      <w:tr w:rsidR="00A67E40" w:rsidRPr="007E2C28" w14:paraId="0235F333" w14:textId="77777777" w:rsidTr="007E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7C2A1FD" w14:textId="77777777" w:rsidR="00A67E40" w:rsidRPr="007E2C28" w:rsidRDefault="0060515C">
            <w:pPr>
              <w:spacing w:after="0" w:line="244" w:lineRule="auto"/>
              <w:ind w:left="29"/>
              <w:rPr>
                <w:rFonts w:ascii="Barlow" w:hAnsi="Barlow" w:cs="Times New Roman"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color w:val="2F5496" w:themeColor="accent1" w:themeShade="BF"/>
              </w:rPr>
              <w:t>Azioni di consolidamento della funzione (livello avanzato)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00CD63AC" w14:textId="77777777" w:rsidR="00A67E40" w:rsidRPr="007E2C28" w:rsidRDefault="0060515C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Strumento di verifica di effettività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2755B3B" w14:textId="77777777" w:rsidR="00A67E40" w:rsidRPr="007E2C28" w:rsidRDefault="0060515C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b/>
                <w:bCs/>
                <w:color w:val="2F5496" w:themeColor="accent1" w:themeShade="BF"/>
              </w:rPr>
            </w:pPr>
            <w:r w:rsidRPr="007E2C28">
              <w:rPr>
                <w:rFonts w:ascii="Barlow" w:hAnsi="Barlow" w:cs="Times New Roman"/>
                <w:b/>
                <w:bCs/>
                <w:color w:val="2F5496" w:themeColor="accent1" w:themeShade="BF"/>
              </w:rPr>
              <w:t>Indicazione estremi o link dell’atto</w:t>
            </w:r>
          </w:p>
        </w:tc>
        <w:tc>
          <w:tcPr>
            <w:tcW w:w="1837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4B39C48B" w14:textId="2D845F02" w:rsidR="00A67E40" w:rsidRPr="007E2C28" w:rsidRDefault="00815ED4">
            <w:pPr>
              <w:spacing w:after="0" w:line="244" w:lineRule="auto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  <w:color w:val="2F5496" w:themeColor="accent1" w:themeShade="BF"/>
              </w:rPr>
            </w:pPr>
            <w:r w:rsidRPr="00815ED4">
              <w:rPr>
                <w:rFonts w:ascii="Barlow" w:hAnsi="Barlow" w:cs="Times New Roman"/>
                <w:color w:val="2F5496" w:themeColor="accent1" w:themeShade="BF"/>
              </w:rPr>
              <w:t>Ogni azione aggiunta equivale a % di punteggio più alta riconosciuta</w:t>
            </w:r>
          </w:p>
        </w:tc>
      </w:tr>
      <w:tr w:rsidR="00A67E40" w:rsidRPr="007E2C28" w14:paraId="10A79B8C" w14:textId="77777777" w:rsidTr="007E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ABF91D0" w14:textId="59A6EA96" w:rsidR="00A67E40" w:rsidRPr="007E2C28" w:rsidRDefault="0060515C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t>Unico software di gestione del singolo tributo</w:t>
            </w:r>
            <w:r w:rsidR="00802571" w:rsidRPr="007E2C28">
              <w:rPr>
                <w:rFonts w:ascii="Barlow" w:hAnsi="Barlow" w:cs="Times New Roman"/>
                <w:b w:val="0"/>
              </w:rPr>
              <w:t xml:space="preserve"> o entrata patrimoniale</w:t>
            </w:r>
            <w:r w:rsidRPr="007E2C28">
              <w:rPr>
                <w:rFonts w:ascii="Barlow" w:hAnsi="Barlow" w:cs="Times New Roman"/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5249D1CC" w14:textId="74633598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Copia fatture d’acquisto/</w:t>
            </w:r>
          </w:p>
          <w:p w14:paraId="75026BE7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 xml:space="preserve">addebito canone di </w:t>
            </w:r>
          </w:p>
          <w:p w14:paraId="78F2733A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assistenza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083B7115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95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B6DF397" w14:textId="77777777" w:rsidR="00A67E40" w:rsidRPr="007E2C28" w:rsidRDefault="006051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15%</w:t>
            </w:r>
          </w:p>
        </w:tc>
        <w:tc>
          <w:tcPr>
            <w:tcW w:w="88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Barlow" w:hAnsi="Barlow"/>
              </w:rPr>
              <w:id w:val="5085394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26D433" w14:textId="77777777" w:rsidR="00A67E40" w:rsidRPr="007E2C28" w:rsidRDefault="0060515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7E2C28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67E40" w:rsidRPr="007E2C28" w14:paraId="4ADA041F" w14:textId="77777777" w:rsidTr="007E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0906F672" w14:textId="77777777" w:rsidR="00A67E40" w:rsidRPr="007E2C28" w:rsidRDefault="0060515C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ascii="Barlow" w:hAnsi="Barlow"/>
              </w:rPr>
            </w:pPr>
            <w:r w:rsidRPr="007E2C28">
              <w:rPr>
                <w:rFonts w:ascii="Barlow" w:hAnsi="Barlow" w:cs="Times New Roman"/>
                <w:b w:val="0"/>
              </w:rPr>
              <w:t>Unico sistema di gestione del Canone Unico Patrimoniale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B2929CF" w14:textId="6174598D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Atti attuativi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2535E575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95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1FB08BB4" w14:textId="77777777" w:rsidR="00A67E40" w:rsidRPr="007E2C28" w:rsidRDefault="006051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5%</w:t>
            </w:r>
          </w:p>
        </w:tc>
        <w:tc>
          <w:tcPr>
            <w:tcW w:w="88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Barlow" w:hAnsi="Barlow"/>
              </w:rPr>
              <w:id w:val="15916712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2EC35D5" w14:textId="77777777" w:rsidR="00A67E40" w:rsidRPr="007E2C28" w:rsidRDefault="0060515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7E2C28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67E40" w:rsidRPr="007E2C28" w14:paraId="24070E28" w14:textId="77777777" w:rsidTr="007E2C28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28DCE7A3" w14:textId="77777777" w:rsidR="00A67E40" w:rsidRPr="007E2C28" w:rsidRDefault="0060515C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t xml:space="preserve">Unico responsabile del tributo per tutti gli enti  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DAF31E8" w14:textId="2701F91C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Atto di nomina unico</w:t>
            </w:r>
          </w:p>
          <w:p w14:paraId="051A5505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Responsabile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5E3C5C15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95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4CA58578" w14:textId="77777777" w:rsidR="00A67E40" w:rsidRPr="007E2C28" w:rsidRDefault="006051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15%</w:t>
            </w:r>
          </w:p>
        </w:tc>
        <w:tc>
          <w:tcPr>
            <w:tcW w:w="88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Barlow" w:hAnsi="Barlow"/>
              </w:rPr>
              <w:id w:val="1030942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4FE1F65" w14:textId="77777777" w:rsidR="00A67E40" w:rsidRPr="007E2C28" w:rsidRDefault="0060515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7E2C28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67E40" w:rsidRPr="007E2C28" w14:paraId="1F6416BE" w14:textId="77777777" w:rsidTr="007E2C2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DB6CB4E" w14:textId="70F1799B" w:rsidR="00A67E40" w:rsidRPr="007E2C28" w:rsidRDefault="0060515C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ascii="Barlow" w:hAnsi="Barlow"/>
              </w:rPr>
            </w:pPr>
            <w:r w:rsidRPr="007E2C28">
              <w:rPr>
                <w:rFonts w:ascii="Barlow" w:hAnsi="Barlow" w:cs="Times New Roman"/>
                <w:b w:val="0"/>
              </w:rPr>
              <w:t xml:space="preserve">Rappresentanza in Corte di Giustizia Tributaria per tutti gli enti 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28A240B6" w14:textId="30CD87F0" w:rsidR="00A67E40" w:rsidRPr="007E2C28" w:rsidRDefault="00F858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Controd</w:t>
            </w:r>
            <w:r w:rsidR="00FA3D22" w:rsidRPr="007E2C28">
              <w:rPr>
                <w:rFonts w:ascii="Barlow" w:hAnsi="Barlow" w:cs="Times New Roman"/>
              </w:rPr>
              <w:t xml:space="preserve">eduzioni, memorie, appelli 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739943A1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95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59C47C8F" w14:textId="77777777" w:rsidR="00A67E40" w:rsidRPr="007E2C28" w:rsidRDefault="006051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5%</w:t>
            </w:r>
          </w:p>
        </w:tc>
        <w:tc>
          <w:tcPr>
            <w:tcW w:w="88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Barlow" w:hAnsi="Barlow"/>
              </w:rPr>
              <w:id w:val="1567927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EB6A91" w14:textId="77777777" w:rsidR="00A67E40" w:rsidRPr="007E2C28" w:rsidRDefault="0060515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7E2C28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67E40" w:rsidRPr="007E2C28" w14:paraId="73D49CC8" w14:textId="77777777" w:rsidTr="007E2C2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5DC9373C" w14:textId="77777777" w:rsidR="00A67E40" w:rsidRPr="007E2C28" w:rsidRDefault="0060515C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ascii="Barlow" w:hAnsi="Barlow"/>
              </w:rPr>
            </w:pPr>
            <w:r w:rsidRPr="007E2C28">
              <w:rPr>
                <w:rFonts w:ascii="Barlow" w:hAnsi="Barlow" w:cs="Times New Roman"/>
                <w:b w:val="0"/>
              </w:rPr>
              <w:t xml:space="preserve">Regolamento uniforme per almeno </w:t>
            </w:r>
            <w:proofErr w:type="gramStart"/>
            <w:r w:rsidRPr="007E2C28">
              <w:rPr>
                <w:rFonts w:ascii="Barlow" w:hAnsi="Barlow" w:cs="Times New Roman"/>
                <w:b w:val="0"/>
              </w:rPr>
              <w:t>2</w:t>
            </w:r>
            <w:proofErr w:type="gramEnd"/>
            <w:r w:rsidRPr="007E2C28">
              <w:rPr>
                <w:rFonts w:ascii="Barlow" w:hAnsi="Barlow" w:cs="Times New Roman"/>
                <w:b w:val="0"/>
              </w:rPr>
              <w:t xml:space="preserve"> entrate (IMU/TARI/CUP/</w:t>
            </w:r>
            <w:proofErr w:type="spellStart"/>
            <w:r w:rsidRPr="007E2C28">
              <w:rPr>
                <w:rFonts w:ascii="Barlow" w:hAnsi="Barlow" w:cs="Times New Roman"/>
                <w:b w:val="0"/>
              </w:rPr>
              <w:t>IdS</w:t>
            </w:r>
            <w:proofErr w:type="spellEnd"/>
            <w:r w:rsidRPr="007E2C28">
              <w:rPr>
                <w:rFonts w:ascii="Barlow" w:hAnsi="Barlow" w:cs="Times New Roman"/>
                <w:b w:val="0"/>
              </w:rPr>
              <w:t>/</w:t>
            </w:r>
            <w:proofErr w:type="spellStart"/>
            <w:r w:rsidRPr="007E2C28">
              <w:rPr>
                <w:rFonts w:ascii="Barlow" w:hAnsi="Barlow" w:cs="Times New Roman"/>
                <w:b w:val="0"/>
              </w:rPr>
              <w:t>Iscop</w:t>
            </w:r>
            <w:proofErr w:type="spellEnd"/>
            <w:r w:rsidRPr="007E2C28">
              <w:rPr>
                <w:rFonts w:ascii="Barlow" w:hAnsi="Barlow" w:cs="Times New Roman"/>
                <w:b w:val="0"/>
              </w:rPr>
              <w:t>)</w:t>
            </w:r>
          </w:p>
          <w:p w14:paraId="0B58EC31" w14:textId="77777777" w:rsidR="00A67E40" w:rsidRPr="007E2C28" w:rsidRDefault="0060515C">
            <w:pPr>
              <w:widowControl w:val="0"/>
              <w:tabs>
                <w:tab w:val="left" w:pos="-1276"/>
              </w:tabs>
              <w:spacing w:after="0" w:line="240" w:lineRule="auto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  <w:b w:val="0"/>
              </w:rPr>
              <w:t>(ammessa diversità su elementi non fondamentali)</w:t>
            </w:r>
          </w:p>
        </w:tc>
        <w:tc>
          <w:tcPr>
            <w:tcW w:w="2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6D69BCC9" w14:textId="77777777" w:rsidR="00A67E40" w:rsidRPr="007E2C28" w:rsidRDefault="006051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 xml:space="preserve">Atto regolamentare con estremi della deliberazione </w:t>
            </w:r>
          </w:p>
        </w:tc>
        <w:tc>
          <w:tcPr>
            <w:tcW w:w="355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0C7C5293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95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18788614" w14:textId="77777777" w:rsidR="00A67E40" w:rsidRPr="007E2C28" w:rsidRDefault="006051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10%</w:t>
            </w:r>
          </w:p>
        </w:tc>
        <w:tc>
          <w:tcPr>
            <w:tcW w:w="88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rFonts w:ascii="Barlow" w:hAnsi="Barlow"/>
              </w:rPr>
              <w:id w:val="18173351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2BC7B57" w14:textId="77777777" w:rsidR="00A67E40" w:rsidRPr="007E2C28" w:rsidRDefault="0060515C">
                <w:pPr>
                  <w:spacing w:after="0"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rlow" w:hAnsi="Barlow" w:cs="Times New Roman"/>
                    <w:color w:val="2F5496" w:themeColor="accent1" w:themeShade="BF"/>
                  </w:rPr>
                </w:pPr>
                <w:r w:rsidRPr="007E2C28">
                  <w:rPr>
                    <w:rFonts w:ascii="Segoe UI Symbol" w:eastAsia="MS Gothic" w:hAnsi="Segoe UI Symbol" w:cs="Segoe UI Symbol"/>
                    <w:color w:val="2F5496" w:themeColor="accent1" w:themeShade="BF"/>
                  </w:rPr>
                  <w:t>☐</w:t>
                </w:r>
              </w:p>
            </w:sdtContent>
          </w:sdt>
        </w:tc>
      </w:tr>
      <w:tr w:rsidR="00A67E40" w:rsidRPr="007E2C28" w14:paraId="374F51B5" w14:textId="77777777" w:rsidTr="007E2C28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3E8F9F3D" w14:textId="77777777" w:rsidR="00A67E40" w:rsidRPr="007E2C28" w:rsidRDefault="00A67E40">
            <w:pPr>
              <w:spacing w:after="0" w:line="240" w:lineRule="auto"/>
              <w:ind w:left="426"/>
              <w:rPr>
                <w:rFonts w:ascii="Barlow" w:hAnsi="Barlow" w:cs="Times New Roman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26DCC74C" w14:textId="77777777" w:rsidR="00A67E40" w:rsidRPr="007E2C28" w:rsidRDefault="00A67E40">
            <w:pPr>
              <w:spacing w:after="0" w:line="240" w:lineRule="auto"/>
              <w:ind w:left="5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  <w:tc>
          <w:tcPr>
            <w:tcW w:w="95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  <w:vAlign w:val="center"/>
          </w:tcPr>
          <w:p w14:paraId="1CDA73FF" w14:textId="14CA6D57" w:rsidR="00175BE8" w:rsidRDefault="00175B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>
              <w:rPr>
                <w:rFonts w:ascii="Barlow" w:hAnsi="Barlow" w:cs="Times New Roman"/>
              </w:rPr>
              <w:t>Totale</w:t>
            </w:r>
          </w:p>
          <w:p w14:paraId="7ED663CE" w14:textId="76224C6A" w:rsidR="00A67E40" w:rsidRPr="007E2C28" w:rsidRDefault="0060515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  <w:r w:rsidRPr="007E2C28">
              <w:rPr>
                <w:rFonts w:ascii="Barlow" w:hAnsi="Barlow" w:cs="Times New Roman"/>
              </w:rPr>
              <w:t>100% punteggio</w:t>
            </w:r>
          </w:p>
        </w:tc>
        <w:tc>
          <w:tcPr>
            <w:tcW w:w="88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left w:w="108" w:type="dxa"/>
            </w:tcMar>
          </w:tcPr>
          <w:p w14:paraId="01BFD4B2" w14:textId="77777777" w:rsidR="00A67E40" w:rsidRPr="007E2C28" w:rsidRDefault="00A67E4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Times New Roman"/>
              </w:rPr>
            </w:pPr>
          </w:p>
        </w:tc>
      </w:tr>
    </w:tbl>
    <w:p w14:paraId="534B170A" w14:textId="77777777" w:rsidR="00A67E40" w:rsidRPr="007E2C28" w:rsidRDefault="00A67E40">
      <w:pPr>
        <w:rPr>
          <w:rFonts w:ascii="Barlow" w:hAnsi="Barlow"/>
        </w:rPr>
      </w:pPr>
    </w:p>
    <w:sectPr w:rsidR="00A67E40" w:rsidRPr="007E2C28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rlow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21AF7"/>
    <w:multiLevelType w:val="multilevel"/>
    <w:tmpl w:val="098A524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7D5"/>
    <w:multiLevelType w:val="multilevel"/>
    <w:tmpl w:val="57E8DA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17274607">
    <w:abstractNumId w:val="0"/>
  </w:num>
  <w:num w:numId="2" w16cid:durableId="41557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40"/>
    <w:rsid w:val="00033423"/>
    <w:rsid w:val="00040392"/>
    <w:rsid w:val="000A0FC9"/>
    <w:rsid w:val="000D7439"/>
    <w:rsid w:val="00100BBE"/>
    <w:rsid w:val="00115F7D"/>
    <w:rsid w:val="00124869"/>
    <w:rsid w:val="00175BE8"/>
    <w:rsid w:val="002606BD"/>
    <w:rsid w:val="002637ED"/>
    <w:rsid w:val="002A45C3"/>
    <w:rsid w:val="002B2907"/>
    <w:rsid w:val="002D2F11"/>
    <w:rsid w:val="002F4017"/>
    <w:rsid w:val="00364265"/>
    <w:rsid w:val="00375F2D"/>
    <w:rsid w:val="003D6E63"/>
    <w:rsid w:val="003E696B"/>
    <w:rsid w:val="00450461"/>
    <w:rsid w:val="00514AB3"/>
    <w:rsid w:val="00572644"/>
    <w:rsid w:val="0060515C"/>
    <w:rsid w:val="006505ED"/>
    <w:rsid w:val="006A1552"/>
    <w:rsid w:val="006B1252"/>
    <w:rsid w:val="00790512"/>
    <w:rsid w:val="007C146F"/>
    <w:rsid w:val="007D35CB"/>
    <w:rsid w:val="007E2C28"/>
    <w:rsid w:val="00802571"/>
    <w:rsid w:val="00815ED4"/>
    <w:rsid w:val="00851D34"/>
    <w:rsid w:val="008A0367"/>
    <w:rsid w:val="008B6A1D"/>
    <w:rsid w:val="0097263B"/>
    <w:rsid w:val="009E3719"/>
    <w:rsid w:val="00A17707"/>
    <w:rsid w:val="00A67E40"/>
    <w:rsid w:val="00B360BE"/>
    <w:rsid w:val="00B949AA"/>
    <w:rsid w:val="00C237B7"/>
    <w:rsid w:val="00CB4592"/>
    <w:rsid w:val="00CC467A"/>
    <w:rsid w:val="00CC7916"/>
    <w:rsid w:val="00D95EEC"/>
    <w:rsid w:val="00E80A4A"/>
    <w:rsid w:val="00E95DD6"/>
    <w:rsid w:val="00F23D26"/>
    <w:rsid w:val="00F6425C"/>
    <w:rsid w:val="00F85851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D161"/>
  <w15:docId w15:val="{4E5D2D54-0270-40F0-BFB7-2799C60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27C"/>
    <w:pPr>
      <w:spacing w:after="160" w:line="259" w:lineRule="auto"/>
    </w:pPr>
    <w:rPr>
      <w:rFonts w:ascii="Calibri" w:eastAsia="Calibri" w:hAnsi="Calibri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7327C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F7327C"/>
    <w:pPr>
      <w:ind w:left="720"/>
      <w:contextualSpacing/>
    </w:pPr>
    <w:rPr>
      <w:rFonts w:ascii="Barlow SemiBold" w:hAnsi="Barlow SemiBold"/>
      <w:sz w:val="28"/>
    </w:rPr>
  </w:style>
  <w:style w:type="table" w:styleId="Tabellagriglia1chiara-colore6">
    <w:name w:val="Grid Table 1 Light Accent 6"/>
    <w:basedOn w:val="Tabellanormale"/>
    <w:uiPriority w:val="46"/>
    <w:rsid w:val="00F7327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7C14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146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1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utonomie.regione.emilia-romagna.it/unioni-di-comuni/programma-di-riordino-territoriale/prt-2024-20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a182e-5811-482c-bfd9-ac006fc98d86">
      <Terms xmlns="http://schemas.microsoft.com/office/infopath/2007/PartnerControls"/>
    </lcf76f155ced4ddcb4097134ff3c332f>
    <TaxCatchAll xmlns="0019704a-108b-4170-a031-f324bd9667d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30781EEE82C24E886CD249FD9F4EDA" ma:contentTypeVersion="14" ma:contentTypeDescription="Creare un nuovo documento." ma:contentTypeScope="" ma:versionID="bd7492e0d8d31c63a01207eddd1e40d0">
  <xsd:schema xmlns:xsd="http://www.w3.org/2001/XMLSchema" xmlns:xs="http://www.w3.org/2001/XMLSchema" xmlns:p="http://schemas.microsoft.com/office/2006/metadata/properties" xmlns:ns2="815a182e-5811-482c-bfd9-ac006fc98d86" xmlns:ns3="0019704a-108b-4170-a031-f324bd9667da" targetNamespace="http://schemas.microsoft.com/office/2006/metadata/properties" ma:root="true" ma:fieldsID="da6d3cfd141a4a49046fce1d7640ed76" ns2:_="" ns3:_="">
    <xsd:import namespace="815a182e-5811-482c-bfd9-ac006fc98d86"/>
    <xsd:import namespace="0019704a-108b-4170-a031-f324bd96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a182e-5811-482c-bfd9-ac006fc98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704a-108b-4170-a031-f324bd9667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b14083-6049-4e6f-8a55-12ea2a6fefa0}" ma:internalName="TaxCatchAll" ma:showField="CatchAllData" ma:web="0019704a-108b-4170-a031-f324bd966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7D064-4320-45C6-9AE1-EDE5340B6853}">
  <ds:schemaRefs>
    <ds:schemaRef ds:uri="http://schemas.microsoft.com/office/2006/metadata/properties"/>
    <ds:schemaRef ds:uri="http://schemas.microsoft.com/office/infopath/2007/PartnerControls"/>
    <ds:schemaRef ds:uri="815a182e-5811-482c-bfd9-ac006fc98d86"/>
    <ds:schemaRef ds:uri="0019704a-108b-4170-a031-f324bd9667da"/>
  </ds:schemaRefs>
</ds:datastoreItem>
</file>

<file path=customXml/itemProps2.xml><?xml version="1.0" encoding="utf-8"?>
<ds:datastoreItem xmlns:ds="http://schemas.openxmlformats.org/officeDocument/2006/customXml" ds:itemID="{A4C9CFAD-D135-43D9-97E8-39C0D5E2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a182e-5811-482c-bfd9-ac006fc98d86"/>
    <ds:schemaRef ds:uri="0019704a-108b-4170-a031-f324bd9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3F602-079C-4867-A2E1-6623F9360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D6FC8F-644F-4E8A-9B78-0E17789CF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Irene</dc:creator>
  <dc:description/>
  <cp:lastModifiedBy>De Giorgi Irene</cp:lastModifiedBy>
  <cp:revision>10</cp:revision>
  <dcterms:created xsi:type="dcterms:W3CDTF">2024-04-17T11:33:00Z</dcterms:created>
  <dcterms:modified xsi:type="dcterms:W3CDTF">2024-06-14T10:17:00Z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Emilia-Romagna</vt:lpwstr>
  </property>
  <property fmtid="{D5CDD505-2E9C-101B-9397-08002B2CF9AE}" pid="4" name="ContentTypeId">
    <vt:lpwstr>0x0101003830781EEE82C24E886CD249FD9F4EDA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